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6CAE" w14:textId="77777777" w:rsidR="00CC6ED8" w:rsidRPr="002B5DAD" w:rsidRDefault="00CC6ED8" w:rsidP="00CC6ED8">
      <w:pPr>
        <w:pStyle w:val="Heading4"/>
      </w:pPr>
      <w:bookmarkStart w:id="0" w:name="_Toc117257534"/>
      <w:r w:rsidRPr="0000106C">
        <w:t xml:space="preserve">Template 1 </w:t>
      </w:r>
      <w:r>
        <w:t>–</w:t>
      </w:r>
      <w:r w:rsidRPr="0000106C">
        <w:t xml:space="preserve"> Checklist for Asset Accountin</w:t>
      </w:r>
      <w:r>
        <w:t>g</w:t>
      </w:r>
      <w:bookmarkEnd w:id="0"/>
    </w:p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3609"/>
        <w:gridCol w:w="1631"/>
        <w:gridCol w:w="1701"/>
        <w:gridCol w:w="1276"/>
        <w:gridCol w:w="1412"/>
      </w:tblGrid>
      <w:tr w:rsidR="00CC6ED8" w:rsidRPr="0061752A" w14:paraId="595683F1" w14:textId="77777777" w:rsidTr="00CC6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7F1F2214" w14:textId="77777777" w:rsidR="00CC6ED8" w:rsidRPr="0061752A" w:rsidRDefault="00CC6ED8" w:rsidP="0059522A">
            <w:pPr>
              <w:rPr>
                <w:color w:val="FFFFFF" w:themeColor="background1"/>
                <w:sz w:val="20"/>
              </w:rPr>
            </w:pPr>
            <w:r w:rsidRPr="0061752A">
              <w:rPr>
                <w:color w:val="FFFFFF" w:themeColor="background1"/>
                <w:sz w:val="20"/>
              </w:rPr>
              <w:t>ACTION</w:t>
            </w:r>
          </w:p>
        </w:tc>
        <w:tc>
          <w:tcPr>
            <w:tcW w:w="1631" w:type="dxa"/>
          </w:tcPr>
          <w:p w14:paraId="686B556B" w14:textId="77777777" w:rsidR="00CC6ED8" w:rsidRPr="0061752A" w:rsidRDefault="00CC6ED8" w:rsidP="00595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</w:rPr>
            </w:pPr>
            <w:r w:rsidRPr="0061752A">
              <w:rPr>
                <w:color w:val="FFFFFF" w:themeColor="background1"/>
                <w:sz w:val="20"/>
              </w:rPr>
              <w:t>RELEVANT LEGISLATION</w:t>
            </w:r>
          </w:p>
        </w:tc>
        <w:tc>
          <w:tcPr>
            <w:tcW w:w="1701" w:type="dxa"/>
          </w:tcPr>
          <w:p w14:paraId="78B8E952" w14:textId="77777777" w:rsidR="00CC6ED8" w:rsidRPr="0061752A" w:rsidRDefault="00CC6ED8" w:rsidP="00595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</w:rPr>
            </w:pPr>
            <w:r w:rsidRPr="0061752A">
              <w:rPr>
                <w:color w:val="FFFFFF" w:themeColor="background1"/>
                <w:sz w:val="20"/>
              </w:rPr>
              <w:t>RESPONSIBLE OFFICER</w:t>
            </w:r>
          </w:p>
        </w:tc>
        <w:tc>
          <w:tcPr>
            <w:tcW w:w="1276" w:type="dxa"/>
          </w:tcPr>
          <w:p w14:paraId="68DBEDDE" w14:textId="77777777" w:rsidR="00CC6ED8" w:rsidRPr="0061752A" w:rsidRDefault="00CC6ED8" w:rsidP="00595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</w:rPr>
            </w:pPr>
            <w:r w:rsidRPr="0061752A">
              <w:rPr>
                <w:color w:val="FFFFFF" w:themeColor="background1"/>
                <w:sz w:val="20"/>
              </w:rPr>
              <w:t>STATUS</w:t>
            </w:r>
          </w:p>
        </w:tc>
        <w:tc>
          <w:tcPr>
            <w:tcW w:w="1412" w:type="dxa"/>
          </w:tcPr>
          <w:p w14:paraId="584139E2" w14:textId="77777777" w:rsidR="00CC6ED8" w:rsidRPr="0061752A" w:rsidRDefault="00CC6ED8" w:rsidP="00595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REVIEWER</w:t>
            </w:r>
          </w:p>
        </w:tc>
      </w:tr>
      <w:tr w:rsidR="00CC6ED8" w:rsidRPr="0061752A" w14:paraId="2520D28F" w14:textId="77777777" w:rsidTr="00CC6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4"/>
          </w:tcPr>
          <w:p w14:paraId="6710A384" w14:textId="77777777" w:rsidR="00CC6ED8" w:rsidRPr="0061752A" w:rsidRDefault="00CC6ED8" w:rsidP="0059522A">
            <w:pPr>
              <w:spacing w:before="0" w:after="0"/>
              <w:rPr>
                <w:sz w:val="20"/>
              </w:rPr>
            </w:pPr>
            <w:r w:rsidRPr="0061752A">
              <w:rPr>
                <w:sz w:val="20"/>
              </w:rPr>
              <w:t>MONTH END / AS EVENT REQUIRES</w:t>
            </w:r>
          </w:p>
        </w:tc>
        <w:tc>
          <w:tcPr>
            <w:tcW w:w="1412" w:type="dxa"/>
          </w:tcPr>
          <w:p w14:paraId="045DFF89" w14:textId="77777777" w:rsidR="00CC6ED8" w:rsidRPr="0061752A" w:rsidRDefault="00CC6ED8" w:rsidP="0059522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2DFE2495" w14:textId="77777777" w:rsidTr="00CC6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773A7CBB" w14:textId="77777777" w:rsidR="00CC6ED8" w:rsidRPr="0061752A" w:rsidRDefault="00CC6ED8" w:rsidP="0059522A">
            <w:pPr>
              <w:spacing w:before="0" w:after="0"/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>Have any Contributed (Donated) Assets been handed over to the local government in this period? If so, consider recognition criteria</w:t>
            </w:r>
          </w:p>
        </w:tc>
        <w:tc>
          <w:tcPr>
            <w:tcW w:w="1631" w:type="dxa"/>
          </w:tcPr>
          <w:p w14:paraId="19D00866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752A">
              <w:rPr>
                <w:sz w:val="20"/>
              </w:rPr>
              <w:t>AASB 116.15</w:t>
            </w:r>
          </w:p>
        </w:tc>
        <w:tc>
          <w:tcPr>
            <w:tcW w:w="1701" w:type="dxa"/>
          </w:tcPr>
          <w:p w14:paraId="5CDEEB46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6EF4BB70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3DC79DD1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74D74E05" w14:textId="77777777" w:rsidTr="00CC6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09CE30D0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 xml:space="preserve">All disposals and additions of fixed assets </w:t>
            </w:r>
            <w:r>
              <w:rPr>
                <w:b w:val="0"/>
                <w:bCs w:val="0"/>
                <w:sz w:val="20"/>
              </w:rPr>
              <w:t>completed within the period</w:t>
            </w:r>
            <w:r w:rsidRPr="0061752A">
              <w:rPr>
                <w:b w:val="0"/>
                <w:bCs w:val="0"/>
                <w:sz w:val="20"/>
              </w:rPr>
              <w:t xml:space="preserve"> to be processed through the fixed assets register in the finance system</w:t>
            </w:r>
          </w:p>
        </w:tc>
        <w:tc>
          <w:tcPr>
            <w:tcW w:w="1631" w:type="dxa"/>
          </w:tcPr>
          <w:p w14:paraId="46335662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1752A">
              <w:rPr>
                <w:sz w:val="20"/>
              </w:rPr>
              <w:t>AASB 116</w:t>
            </w:r>
          </w:p>
        </w:tc>
        <w:tc>
          <w:tcPr>
            <w:tcW w:w="1701" w:type="dxa"/>
          </w:tcPr>
          <w:p w14:paraId="3A85B7A2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36E28703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2B624AAB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2FBE42FA" w14:textId="77777777" w:rsidTr="00CC6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02D91619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>Run/calculate depreciation for the period</w:t>
            </w:r>
          </w:p>
        </w:tc>
        <w:tc>
          <w:tcPr>
            <w:tcW w:w="1631" w:type="dxa"/>
          </w:tcPr>
          <w:p w14:paraId="5D316F5C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752A">
              <w:rPr>
                <w:sz w:val="20"/>
              </w:rPr>
              <w:t>AASB 116</w:t>
            </w:r>
          </w:p>
        </w:tc>
        <w:tc>
          <w:tcPr>
            <w:tcW w:w="1701" w:type="dxa"/>
          </w:tcPr>
          <w:p w14:paraId="4C89F1B1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6309F8E7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109E9B73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55DC3653" w14:textId="77777777" w:rsidTr="00CC6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311C2D24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 xml:space="preserve">Reconcile Assets Ledger to General Ledger for </w:t>
            </w:r>
            <w:r w:rsidRPr="002B5DAD">
              <w:rPr>
                <w:b w:val="0"/>
                <w:bCs w:val="0"/>
                <w:color w:val="auto"/>
                <w:sz w:val="20"/>
              </w:rPr>
              <w:t>fixed assets, accumulated depreciation and depreciation expense</w:t>
            </w:r>
          </w:p>
        </w:tc>
        <w:tc>
          <w:tcPr>
            <w:tcW w:w="1631" w:type="dxa"/>
          </w:tcPr>
          <w:p w14:paraId="20FC7A06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10E1F7A6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47E64903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688BCA49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1C9BA484" w14:textId="77777777" w:rsidTr="00CC6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4"/>
          </w:tcPr>
          <w:p w14:paraId="7C1CE5E4" w14:textId="77777777" w:rsidR="00CC6ED8" w:rsidRPr="0061752A" w:rsidRDefault="00CC6ED8" w:rsidP="0059522A">
            <w:pPr>
              <w:spacing w:before="0" w:after="0"/>
              <w:rPr>
                <w:sz w:val="20"/>
              </w:rPr>
            </w:pPr>
            <w:r w:rsidRPr="0061752A">
              <w:rPr>
                <w:sz w:val="20"/>
              </w:rPr>
              <w:t>PRE-YEAR END</w:t>
            </w:r>
          </w:p>
        </w:tc>
        <w:tc>
          <w:tcPr>
            <w:tcW w:w="1412" w:type="dxa"/>
          </w:tcPr>
          <w:p w14:paraId="7BAC5090" w14:textId="77777777" w:rsidR="00CC6ED8" w:rsidRPr="0061752A" w:rsidRDefault="00CC6ED8" w:rsidP="0059522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5DAB9C0B" w14:textId="77777777" w:rsidTr="00CC6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1A032DB4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>Complete a stock take on all physical non-current assets against what is held on the asset register. The stocktake report is prepared for management endorsement and register updated where required</w:t>
            </w:r>
          </w:p>
        </w:tc>
        <w:tc>
          <w:tcPr>
            <w:tcW w:w="1631" w:type="dxa"/>
          </w:tcPr>
          <w:p w14:paraId="06FD0C64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34D0FC12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50630AAA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029D0A95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5A21F2B5" w14:textId="77777777" w:rsidTr="00CC6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1B8E2865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>Complete stocktake of portable and attractive items. The stocktake report is prepared for management endorsement and register updated where required</w:t>
            </w:r>
          </w:p>
        </w:tc>
        <w:tc>
          <w:tcPr>
            <w:tcW w:w="1631" w:type="dxa"/>
          </w:tcPr>
          <w:p w14:paraId="37B05F5E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0447673A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424FD9E3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0C66ADB0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371A6293" w14:textId="77777777" w:rsidTr="00CC6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6368E550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>Review of Residual Values and Useful Lives of Assets – prepare evidence of review and place on audit file</w:t>
            </w:r>
          </w:p>
        </w:tc>
        <w:tc>
          <w:tcPr>
            <w:tcW w:w="1631" w:type="dxa"/>
          </w:tcPr>
          <w:p w14:paraId="4A322CEA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1752A">
              <w:rPr>
                <w:sz w:val="20"/>
              </w:rPr>
              <w:t>AASB 116.51</w:t>
            </w:r>
          </w:p>
        </w:tc>
        <w:tc>
          <w:tcPr>
            <w:tcW w:w="1701" w:type="dxa"/>
          </w:tcPr>
          <w:p w14:paraId="01F1FAB5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3B2BA23C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13FB9F49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5B823A4B" w14:textId="77777777" w:rsidTr="00CC6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0A447DF1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>Review of relevance of Depreciation Methods applied to Assets – prepare evidence and place on audit file</w:t>
            </w:r>
          </w:p>
        </w:tc>
        <w:tc>
          <w:tcPr>
            <w:tcW w:w="1631" w:type="dxa"/>
          </w:tcPr>
          <w:p w14:paraId="00A0468B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752A">
              <w:rPr>
                <w:sz w:val="20"/>
              </w:rPr>
              <w:t>AASB 116.61</w:t>
            </w:r>
          </w:p>
        </w:tc>
        <w:tc>
          <w:tcPr>
            <w:tcW w:w="1701" w:type="dxa"/>
          </w:tcPr>
          <w:p w14:paraId="1FBEFA9F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7CA15B1C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55313319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379C1CAA" w14:textId="77777777" w:rsidTr="00CC6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2E0344E3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lastRenderedPageBreak/>
              <w:t xml:space="preserve">Review Assets for Impairment </w:t>
            </w:r>
            <w:r>
              <w:rPr>
                <w:b w:val="0"/>
                <w:bCs w:val="0"/>
                <w:sz w:val="20"/>
              </w:rPr>
              <w:t>–</w:t>
            </w:r>
            <w:r w:rsidRPr="0061752A">
              <w:rPr>
                <w:b w:val="0"/>
                <w:bCs w:val="0"/>
                <w:sz w:val="20"/>
              </w:rPr>
              <w:t xml:space="preserve"> prepare evidence and place on audit file</w:t>
            </w:r>
          </w:p>
        </w:tc>
        <w:tc>
          <w:tcPr>
            <w:tcW w:w="1631" w:type="dxa"/>
          </w:tcPr>
          <w:p w14:paraId="4E7672AF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1752A">
              <w:rPr>
                <w:sz w:val="20"/>
              </w:rPr>
              <w:t>AASB 136.9</w:t>
            </w:r>
          </w:p>
        </w:tc>
        <w:tc>
          <w:tcPr>
            <w:tcW w:w="1701" w:type="dxa"/>
          </w:tcPr>
          <w:p w14:paraId="311A8296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61107441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4F48D18E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0B63587C" w14:textId="77777777" w:rsidTr="00CC6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7B0464B2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 xml:space="preserve">Review </w:t>
            </w:r>
            <w:r>
              <w:rPr>
                <w:b w:val="0"/>
                <w:bCs w:val="0"/>
                <w:sz w:val="20"/>
              </w:rPr>
              <w:t xml:space="preserve">Significant </w:t>
            </w:r>
            <w:r w:rsidRPr="0061752A">
              <w:rPr>
                <w:b w:val="0"/>
                <w:bCs w:val="0"/>
                <w:sz w:val="20"/>
              </w:rPr>
              <w:t>Accounting / Asset Policy for relevance and any required changes</w:t>
            </w:r>
          </w:p>
        </w:tc>
        <w:tc>
          <w:tcPr>
            <w:tcW w:w="1631" w:type="dxa"/>
          </w:tcPr>
          <w:p w14:paraId="7297F0AE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49F93254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780CA8BD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18B24DE7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7DF9C959" w14:textId="77777777" w:rsidTr="00CC6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7D463E0C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 xml:space="preserve">Review fair value of assets; where re-valuation required, conduct revaluation/engage valuers </w:t>
            </w:r>
            <w:r w:rsidRPr="008317E9">
              <w:rPr>
                <w:b w:val="0"/>
                <w:bCs w:val="0"/>
                <w:color w:val="auto"/>
                <w:sz w:val="20"/>
              </w:rPr>
              <w:t>– this can usually be completed earlier in the year and then a minor review completed at 30 June to ensure no material changes to the valuations have occurred</w:t>
            </w:r>
          </w:p>
        </w:tc>
        <w:tc>
          <w:tcPr>
            <w:tcW w:w="1631" w:type="dxa"/>
          </w:tcPr>
          <w:p w14:paraId="0AC74A9F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7FEC">
              <w:rPr>
                <w:color w:val="auto"/>
                <w:sz w:val="20"/>
              </w:rPr>
              <w:t xml:space="preserve">AASB 116.31-42 / </w:t>
            </w:r>
            <w:r w:rsidRPr="00F77FEC">
              <w:rPr>
                <w:color w:val="auto"/>
                <w:sz w:val="21"/>
                <w:szCs w:val="18"/>
              </w:rPr>
              <w:t>FM Reg 17A(4)</w:t>
            </w:r>
          </w:p>
        </w:tc>
        <w:tc>
          <w:tcPr>
            <w:tcW w:w="1701" w:type="dxa"/>
          </w:tcPr>
          <w:p w14:paraId="1A867DC5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3493B766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21EF8CD0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2A01011A" w14:textId="77777777" w:rsidTr="00CC6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4"/>
          </w:tcPr>
          <w:p w14:paraId="72AE479A" w14:textId="77777777" w:rsidR="00CC6ED8" w:rsidRPr="0061752A" w:rsidRDefault="00CC6ED8" w:rsidP="0059522A">
            <w:pPr>
              <w:spacing w:before="0" w:after="0"/>
              <w:rPr>
                <w:b w:val="0"/>
                <w:bCs w:val="0"/>
                <w:sz w:val="20"/>
              </w:rPr>
            </w:pPr>
            <w:r w:rsidRPr="0061752A">
              <w:rPr>
                <w:sz w:val="20"/>
              </w:rPr>
              <w:t>YEAR END</w:t>
            </w:r>
          </w:p>
          <w:p w14:paraId="22FDCAEB" w14:textId="77777777" w:rsidR="00CC6ED8" w:rsidRPr="0061752A" w:rsidRDefault="00CC6ED8" w:rsidP="0059522A">
            <w:pPr>
              <w:spacing w:before="0" w:after="0"/>
              <w:rPr>
                <w:i/>
                <w:iCs/>
                <w:sz w:val="20"/>
              </w:rPr>
            </w:pPr>
            <w:r w:rsidRPr="0061752A">
              <w:rPr>
                <w:b w:val="0"/>
                <w:bCs w:val="0"/>
                <w:i/>
                <w:iCs/>
                <w:sz w:val="20"/>
              </w:rPr>
              <w:t xml:space="preserve">(In addition to completing all month end </w:t>
            </w:r>
            <w:r>
              <w:rPr>
                <w:b w:val="0"/>
                <w:bCs w:val="0"/>
                <w:i/>
                <w:iCs/>
                <w:sz w:val="20"/>
              </w:rPr>
              <w:t>and</w:t>
            </w:r>
            <w:r w:rsidRPr="0061752A">
              <w:rPr>
                <w:b w:val="0"/>
                <w:bCs w:val="0"/>
                <w:i/>
                <w:iCs/>
                <w:sz w:val="20"/>
              </w:rPr>
              <w:t xml:space="preserve"> pre-year end requirement</w:t>
            </w:r>
            <w:r>
              <w:rPr>
                <w:b w:val="0"/>
                <w:bCs w:val="0"/>
                <w:i/>
                <w:iCs/>
                <w:sz w:val="20"/>
              </w:rPr>
              <w:t>s</w:t>
            </w:r>
            <w:r w:rsidRPr="0061752A">
              <w:rPr>
                <w:b w:val="0"/>
                <w:bCs w:val="0"/>
                <w:i/>
                <w:iCs/>
                <w:sz w:val="20"/>
              </w:rPr>
              <w:t>, complete the following)</w:t>
            </w:r>
          </w:p>
        </w:tc>
        <w:tc>
          <w:tcPr>
            <w:tcW w:w="1412" w:type="dxa"/>
          </w:tcPr>
          <w:p w14:paraId="7D5E6977" w14:textId="77777777" w:rsidR="00CC6ED8" w:rsidRPr="0061752A" w:rsidRDefault="00CC6ED8" w:rsidP="0059522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6B477AD4" w14:textId="77777777" w:rsidTr="00CC6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03941A7D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>All disposals, additions and revaluations of fixed assets to be processed through the fixed assets register in the finance system</w:t>
            </w:r>
          </w:p>
        </w:tc>
        <w:tc>
          <w:tcPr>
            <w:tcW w:w="1631" w:type="dxa"/>
          </w:tcPr>
          <w:p w14:paraId="63C8F14B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2EDDB9D1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0B2E4C2A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0A2C9471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52D4FCA8" w14:textId="77777777" w:rsidTr="00CC6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304017AB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>Run/calculate depreciation for the period</w:t>
            </w:r>
          </w:p>
        </w:tc>
        <w:tc>
          <w:tcPr>
            <w:tcW w:w="1631" w:type="dxa"/>
          </w:tcPr>
          <w:p w14:paraId="25D8D051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09BC7B10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1EC9BACE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3C1027D5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0258975C" w14:textId="77777777" w:rsidTr="00CC6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4FED908C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 xml:space="preserve">Reconcile Assets Ledger to General Ledger for </w:t>
            </w:r>
            <w:r w:rsidRPr="001A79B0">
              <w:rPr>
                <w:b w:val="0"/>
                <w:bCs w:val="0"/>
                <w:color w:val="auto"/>
                <w:sz w:val="20"/>
              </w:rPr>
              <w:t>fixed assets, accumulated depreciation and depreciation expense</w:t>
            </w:r>
          </w:p>
        </w:tc>
        <w:tc>
          <w:tcPr>
            <w:tcW w:w="1631" w:type="dxa"/>
          </w:tcPr>
          <w:p w14:paraId="67CF2AB1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11A5AE5B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1C1E9BAC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5D46DB51" w14:textId="77777777" w:rsidR="00CC6ED8" w:rsidRPr="0061752A" w:rsidRDefault="00CC6ED8" w:rsidP="00595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C6ED8" w:rsidRPr="0061752A" w14:paraId="04474000" w14:textId="77777777" w:rsidTr="00CC6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14:paraId="1BB34B3D" w14:textId="77777777" w:rsidR="00CC6ED8" w:rsidRPr="0061752A" w:rsidRDefault="00CC6ED8" w:rsidP="0059522A">
            <w:pPr>
              <w:rPr>
                <w:b w:val="0"/>
                <w:bCs w:val="0"/>
                <w:sz w:val="20"/>
              </w:rPr>
            </w:pPr>
            <w:r w:rsidRPr="0061752A">
              <w:rPr>
                <w:b w:val="0"/>
                <w:bCs w:val="0"/>
                <w:sz w:val="20"/>
              </w:rPr>
              <w:t>Preparation of required disclosure notes – refer to Model Financial Statements</w:t>
            </w:r>
          </w:p>
        </w:tc>
        <w:tc>
          <w:tcPr>
            <w:tcW w:w="1631" w:type="dxa"/>
          </w:tcPr>
          <w:p w14:paraId="485A1A16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43A78DF1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0DFD2920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2" w:type="dxa"/>
          </w:tcPr>
          <w:p w14:paraId="441F6A8B" w14:textId="77777777" w:rsidR="00CC6ED8" w:rsidRPr="0061752A" w:rsidRDefault="00CC6ED8" w:rsidP="00595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60F718D" w14:textId="1983D7A9" w:rsidR="00CC6ED8" w:rsidRDefault="00CC6ED8" w:rsidP="00CC6ED8">
      <w:pPr>
        <w:spacing w:before="0" w:after="0" w:line="240" w:lineRule="auto"/>
        <w:rPr>
          <w:rFonts w:eastAsiaTheme="majorEastAsia" w:cstheme="majorBidi"/>
          <w:b/>
          <w:bCs/>
          <w:i/>
          <w:iCs/>
          <w:color w:val="auto"/>
          <w:szCs w:val="22"/>
          <w:highlight w:val="yellow"/>
        </w:rPr>
      </w:pPr>
    </w:p>
    <w:p w14:paraId="27D401EE" w14:textId="77777777" w:rsidR="0095583F" w:rsidRDefault="0095583F"/>
    <w:sectPr w:rsidR="0095583F" w:rsidSect="00EE3A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D8"/>
    <w:rsid w:val="004F2B19"/>
    <w:rsid w:val="0095583F"/>
    <w:rsid w:val="00CC6ED8"/>
    <w:rsid w:val="00E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CD108"/>
  <w15:chartTrackingRefBased/>
  <w15:docId w15:val="{A3806574-5269-7649-865E-1A44F90A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D8"/>
    <w:pPr>
      <w:spacing w:before="120" w:after="240" w:line="276" w:lineRule="auto"/>
    </w:pPr>
    <w:rPr>
      <w:rFonts w:ascii="Arial" w:eastAsia="Times New Roman" w:hAnsi="Arial" w:cs="Times New Roman"/>
      <w:color w:val="2D2E2F"/>
      <w:sz w:val="22"/>
      <w:szCs w:val="20"/>
      <w:lang w:eastAsia="en-AU"/>
    </w:rPr>
  </w:style>
  <w:style w:type="paragraph" w:styleId="Heading4">
    <w:name w:val="heading 4"/>
    <w:basedOn w:val="Normal"/>
    <w:next w:val="Normal"/>
    <w:link w:val="Heading4Char"/>
    <w:autoRedefine/>
    <w:qFormat/>
    <w:rsid w:val="00CC6ED8"/>
    <w:pPr>
      <w:spacing w:before="60" w:after="120" w:line="360" w:lineRule="auto"/>
      <w:outlineLvl w:val="3"/>
    </w:pPr>
    <w:rPr>
      <w:rFonts w:eastAsiaTheme="majorEastAsia" w:cstheme="majorBidi"/>
      <w:b/>
      <w:bCs/>
      <w:i/>
      <w:iCs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C6ED8"/>
    <w:rPr>
      <w:rFonts w:ascii="Arial" w:eastAsiaTheme="majorEastAsia" w:hAnsi="Arial" w:cstheme="majorBidi"/>
      <w:b/>
      <w:bCs/>
      <w:i/>
      <w:iCs/>
      <w:sz w:val="22"/>
      <w:szCs w:val="22"/>
      <w:lang w:eastAsia="en-AU"/>
    </w:rPr>
  </w:style>
  <w:style w:type="table" w:styleId="GridTable4-Accent4">
    <w:name w:val="Grid Table 4 Accent 4"/>
    <w:basedOn w:val="TableNormal"/>
    <w:uiPriority w:val="49"/>
    <w:rsid w:val="00CC6ED8"/>
    <w:rPr>
      <w:rFonts w:ascii="Verdana" w:eastAsia="Times New Roman" w:hAnsi="Verdana" w:cs="Times New Roman"/>
      <w:sz w:val="18"/>
      <w:szCs w:val="20"/>
      <w:lang w:eastAsia="en-A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6ED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Hayward</dc:creator>
  <cp:keywords/>
  <dc:description/>
  <cp:lastModifiedBy>Kelli Hayward</cp:lastModifiedBy>
  <cp:revision>1</cp:revision>
  <dcterms:created xsi:type="dcterms:W3CDTF">2022-10-21T08:14:00Z</dcterms:created>
  <dcterms:modified xsi:type="dcterms:W3CDTF">2022-10-21T08:15:00Z</dcterms:modified>
</cp:coreProperties>
</file>