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335A8" w14:textId="3A4E2C5C" w:rsidR="00CA3C38" w:rsidRDefault="00CA3C38" w:rsidP="00CA3C38">
      <w:pPr>
        <w:pStyle w:val="Header"/>
        <w:jc w:val="center"/>
      </w:pPr>
      <w:r w:rsidRPr="004E7B40">
        <w:rPr>
          <w:b/>
          <w:bCs/>
          <w:i/>
          <w:iCs/>
          <w:sz w:val="24"/>
          <w:szCs w:val="24"/>
        </w:rPr>
        <w:t xml:space="preserve">LOCAL GOVERNMENT REGULATIONS AMENDMENT </w:t>
      </w:r>
      <w:r w:rsidRPr="00AE1608">
        <w:rPr>
          <w:b/>
          <w:bCs/>
          <w:i/>
          <w:iCs/>
          <w:sz w:val="24"/>
          <w:szCs w:val="24"/>
        </w:rPr>
        <w:t xml:space="preserve">REGULATIONS </w:t>
      </w:r>
      <w:r w:rsidR="00970B25" w:rsidRPr="00AE1608">
        <w:rPr>
          <w:b/>
          <w:bCs/>
          <w:i/>
          <w:iCs/>
          <w:sz w:val="24"/>
          <w:szCs w:val="24"/>
        </w:rPr>
        <w:t xml:space="preserve">(No. 2) </w:t>
      </w:r>
      <w:r w:rsidRPr="00AE1608">
        <w:rPr>
          <w:b/>
          <w:bCs/>
          <w:i/>
          <w:iCs/>
          <w:sz w:val="24"/>
          <w:szCs w:val="24"/>
        </w:rPr>
        <w:t>2020</w:t>
      </w:r>
      <w:r>
        <w:rPr>
          <w:b/>
          <w:bCs/>
          <w:sz w:val="24"/>
          <w:szCs w:val="24"/>
        </w:rPr>
        <w:t xml:space="preserve"> – </w:t>
      </w:r>
      <w:r w:rsidR="00377063">
        <w:rPr>
          <w:b/>
          <w:bCs/>
          <w:sz w:val="24"/>
          <w:szCs w:val="24"/>
        </w:rPr>
        <w:t>GUIDANCE</w:t>
      </w:r>
      <w:r>
        <w:rPr>
          <w:b/>
          <w:bCs/>
          <w:sz w:val="24"/>
          <w:szCs w:val="24"/>
        </w:rPr>
        <w:t xml:space="preserve"> NOTES</w:t>
      </w:r>
    </w:p>
    <w:p w14:paraId="1E9BB871" w14:textId="3D0A46AD" w:rsidR="007B1635" w:rsidRDefault="00CA3C38" w:rsidP="00CA3C38">
      <w:pPr>
        <w:rPr>
          <w:rFonts w:ascii="Arial" w:hAnsi="Arial" w:cs="Arial"/>
          <w:sz w:val="24"/>
          <w:szCs w:val="24"/>
        </w:rPr>
      </w:pPr>
      <w:r w:rsidRPr="00CA3C38">
        <w:rPr>
          <w:rFonts w:ascii="Arial" w:hAnsi="Arial" w:cs="Arial"/>
          <w:sz w:val="24"/>
          <w:szCs w:val="24"/>
        </w:rPr>
        <w:t xml:space="preserve">These regulations </w:t>
      </w:r>
      <w:r>
        <w:rPr>
          <w:rFonts w:ascii="Arial" w:hAnsi="Arial" w:cs="Arial"/>
          <w:sz w:val="24"/>
          <w:szCs w:val="24"/>
        </w:rPr>
        <w:t xml:space="preserve">bring into effect all of the remaining parts of the </w:t>
      </w:r>
      <w:r w:rsidRPr="00CA3C38">
        <w:rPr>
          <w:rFonts w:ascii="Arial" w:hAnsi="Arial" w:cs="Arial"/>
          <w:i/>
          <w:iCs/>
          <w:sz w:val="24"/>
          <w:szCs w:val="24"/>
        </w:rPr>
        <w:t>Local Government Legislation Amendment Act 2019</w:t>
      </w:r>
      <w:r>
        <w:rPr>
          <w:rFonts w:ascii="Arial" w:hAnsi="Arial" w:cs="Arial"/>
          <w:sz w:val="24"/>
          <w:szCs w:val="24"/>
        </w:rPr>
        <w:t xml:space="preserve">, apart from the best practice standards for CEO recruitment, performance review and termination, and the new Code of Conduct which are </w:t>
      </w:r>
      <w:r w:rsidR="00B07D02">
        <w:rPr>
          <w:rFonts w:ascii="Arial" w:hAnsi="Arial" w:cs="Arial"/>
          <w:sz w:val="24"/>
          <w:szCs w:val="24"/>
        </w:rPr>
        <w:t xml:space="preserve">both </w:t>
      </w:r>
      <w:r>
        <w:rPr>
          <w:rFonts w:ascii="Arial" w:hAnsi="Arial" w:cs="Arial"/>
          <w:sz w:val="24"/>
          <w:szCs w:val="24"/>
        </w:rPr>
        <w:t>being drafted</w:t>
      </w:r>
      <w:r w:rsidR="000959D0">
        <w:rPr>
          <w:rFonts w:ascii="Arial" w:hAnsi="Arial" w:cs="Arial"/>
          <w:sz w:val="24"/>
          <w:szCs w:val="24"/>
        </w:rPr>
        <w:t xml:space="preserve"> </w:t>
      </w:r>
      <w:r w:rsidR="00491B8D">
        <w:rPr>
          <w:rFonts w:ascii="Arial" w:hAnsi="Arial" w:cs="Arial"/>
          <w:sz w:val="24"/>
          <w:szCs w:val="24"/>
        </w:rPr>
        <w:t>(and are out for consultation until 6 December 2020).</w:t>
      </w:r>
    </w:p>
    <w:p w14:paraId="3E3CA999" w14:textId="0E2E3B0A" w:rsidR="00F51147" w:rsidRDefault="007B1635" w:rsidP="00CA3C38">
      <w:pPr>
        <w:rPr>
          <w:rFonts w:ascii="Arial" w:hAnsi="Arial" w:cs="Arial"/>
          <w:sz w:val="24"/>
          <w:szCs w:val="24"/>
        </w:rPr>
      </w:pPr>
      <w:r>
        <w:rPr>
          <w:rFonts w:ascii="Arial" w:hAnsi="Arial" w:cs="Arial"/>
          <w:sz w:val="24"/>
          <w:szCs w:val="24"/>
        </w:rPr>
        <w:t>T</w:t>
      </w:r>
      <w:r w:rsidR="00F41DF5">
        <w:rPr>
          <w:rFonts w:ascii="Arial" w:hAnsi="Arial" w:cs="Arial"/>
          <w:sz w:val="24"/>
          <w:szCs w:val="24"/>
        </w:rPr>
        <w:t xml:space="preserve">he </w:t>
      </w:r>
      <w:r w:rsidR="00F51147">
        <w:rPr>
          <w:rFonts w:ascii="Arial" w:hAnsi="Arial" w:cs="Arial"/>
          <w:sz w:val="24"/>
          <w:szCs w:val="24"/>
        </w:rPr>
        <w:t xml:space="preserve">guidance </w:t>
      </w:r>
      <w:r w:rsidR="00E416DF">
        <w:rPr>
          <w:rFonts w:ascii="Arial" w:hAnsi="Arial" w:cs="Arial"/>
          <w:sz w:val="24"/>
          <w:szCs w:val="24"/>
        </w:rPr>
        <w:t>notes below cover all of the changes made in these Regulations</w:t>
      </w:r>
      <w:r w:rsidR="00851CF5">
        <w:rPr>
          <w:rFonts w:ascii="Arial" w:hAnsi="Arial" w:cs="Arial"/>
          <w:sz w:val="24"/>
          <w:szCs w:val="24"/>
        </w:rPr>
        <w:t xml:space="preserve">. </w:t>
      </w:r>
    </w:p>
    <w:p w14:paraId="778EC776" w14:textId="461CB040" w:rsidR="00753AA4" w:rsidRDefault="007B1635" w:rsidP="00CA3C38">
      <w:pPr>
        <w:rPr>
          <w:rFonts w:ascii="Arial" w:hAnsi="Arial" w:cs="Arial"/>
          <w:sz w:val="24"/>
          <w:szCs w:val="24"/>
        </w:rPr>
      </w:pPr>
      <w:r>
        <w:rPr>
          <w:rFonts w:ascii="Arial" w:hAnsi="Arial" w:cs="Arial"/>
          <w:sz w:val="24"/>
          <w:szCs w:val="24"/>
        </w:rPr>
        <w:t>E</w:t>
      </w:r>
      <w:r w:rsidR="00844E90">
        <w:rPr>
          <w:rFonts w:ascii="Arial" w:hAnsi="Arial" w:cs="Arial"/>
          <w:sz w:val="24"/>
          <w:szCs w:val="24"/>
        </w:rPr>
        <w:t xml:space="preserve">nquiries should be emailed to </w:t>
      </w:r>
      <w:hyperlink r:id="rId11" w:history="1">
        <w:r w:rsidR="00753AA4" w:rsidRPr="00864256">
          <w:rPr>
            <w:rStyle w:val="Hyperlink"/>
            <w:rFonts w:ascii="Arial" w:hAnsi="Arial" w:cs="Arial"/>
            <w:sz w:val="24"/>
            <w:szCs w:val="24"/>
          </w:rPr>
          <w:t>actreview@dlgsc.wa.gov.au</w:t>
        </w:r>
      </w:hyperlink>
      <w:r w:rsidR="00753AA4">
        <w:rPr>
          <w:rFonts w:ascii="Arial" w:hAnsi="Arial" w:cs="Arial"/>
          <w:sz w:val="24"/>
          <w:szCs w:val="24"/>
        </w:rPr>
        <w:t xml:space="preserve">   </w:t>
      </w:r>
    </w:p>
    <w:tbl>
      <w:tblPr>
        <w:tblStyle w:val="TableGrid"/>
        <w:tblW w:w="0" w:type="auto"/>
        <w:tblLook w:val="04A0" w:firstRow="1" w:lastRow="0" w:firstColumn="1" w:lastColumn="0" w:noHBand="0" w:noVBand="1"/>
      </w:tblPr>
      <w:tblGrid>
        <w:gridCol w:w="3256"/>
        <w:gridCol w:w="3543"/>
        <w:gridCol w:w="7371"/>
      </w:tblGrid>
      <w:tr w:rsidR="00414167" w:rsidRPr="001A0F41" w14:paraId="141C209F" w14:textId="77777777" w:rsidTr="007B1635">
        <w:tc>
          <w:tcPr>
            <w:tcW w:w="3256" w:type="dxa"/>
          </w:tcPr>
          <w:p w14:paraId="5F2FB8DB" w14:textId="77777777" w:rsidR="00414167" w:rsidRPr="001A0F41" w:rsidRDefault="00414167" w:rsidP="001D358D">
            <w:pPr>
              <w:spacing w:before="40" w:after="40"/>
              <w:jc w:val="center"/>
              <w:rPr>
                <w:rFonts w:ascii="Arial" w:hAnsi="Arial" w:cs="Arial"/>
                <w:b/>
                <w:bCs/>
              </w:rPr>
            </w:pPr>
            <w:r w:rsidRPr="001A0F41">
              <w:rPr>
                <w:rFonts w:ascii="Arial" w:hAnsi="Arial" w:cs="Arial"/>
                <w:b/>
                <w:bCs/>
              </w:rPr>
              <w:t>Section in Amendment Act</w:t>
            </w:r>
          </w:p>
        </w:tc>
        <w:tc>
          <w:tcPr>
            <w:tcW w:w="3543" w:type="dxa"/>
          </w:tcPr>
          <w:p w14:paraId="44D3A3D7" w14:textId="77777777" w:rsidR="00414167" w:rsidRPr="001A0F41" w:rsidRDefault="00414167" w:rsidP="001D358D">
            <w:pPr>
              <w:spacing w:before="40" w:after="40"/>
              <w:jc w:val="center"/>
              <w:rPr>
                <w:rFonts w:ascii="Arial" w:hAnsi="Arial" w:cs="Arial"/>
                <w:b/>
                <w:bCs/>
              </w:rPr>
            </w:pPr>
            <w:r w:rsidRPr="001A0F41">
              <w:rPr>
                <w:rFonts w:ascii="Arial" w:hAnsi="Arial" w:cs="Arial"/>
                <w:b/>
                <w:bCs/>
              </w:rPr>
              <w:t xml:space="preserve">Section in </w:t>
            </w:r>
            <w:r>
              <w:rPr>
                <w:rFonts w:ascii="Arial" w:hAnsi="Arial" w:cs="Arial"/>
                <w:b/>
                <w:bCs/>
              </w:rPr>
              <w:t>LG</w:t>
            </w:r>
            <w:r w:rsidRPr="001A0F41">
              <w:rPr>
                <w:rFonts w:ascii="Arial" w:hAnsi="Arial" w:cs="Arial"/>
                <w:b/>
                <w:bCs/>
              </w:rPr>
              <w:t xml:space="preserve"> Act</w:t>
            </w:r>
          </w:p>
        </w:tc>
        <w:tc>
          <w:tcPr>
            <w:tcW w:w="7371" w:type="dxa"/>
          </w:tcPr>
          <w:p w14:paraId="064159BB" w14:textId="77777777" w:rsidR="00414167" w:rsidRPr="001A0F41" w:rsidRDefault="00414167" w:rsidP="00120B73">
            <w:pPr>
              <w:spacing w:before="40" w:after="40"/>
              <w:rPr>
                <w:rFonts w:ascii="Arial" w:hAnsi="Arial" w:cs="Arial"/>
                <w:b/>
                <w:bCs/>
              </w:rPr>
            </w:pPr>
            <w:r w:rsidRPr="001A0F41">
              <w:rPr>
                <w:rFonts w:ascii="Arial" w:hAnsi="Arial" w:cs="Arial"/>
                <w:b/>
                <w:bCs/>
              </w:rPr>
              <w:t>Topic</w:t>
            </w:r>
          </w:p>
        </w:tc>
      </w:tr>
      <w:tr w:rsidR="00414167" w:rsidRPr="001A0F41" w14:paraId="7954C015" w14:textId="77777777" w:rsidTr="007B1635">
        <w:tc>
          <w:tcPr>
            <w:tcW w:w="3256" w:type="dxa"/>
          </w:tcPr>
          <w:p w14:paraId="161C2465" w14:textId="77777777" w:rsidR="00414167" w:rsidRPr="00184E30" w:rsidRDefault="00414167" w:rsidP="001D358D">
            <w:pPr>
              <w:spacing w:before="40" w:after="40"/>
              <w:jc w:val="center"/>
              <w:rPr>
                <w:rFonts w:ascii="Arial" w:hAnsi="Arial" w:cs="Arial"/>
              </w:rPr>
            </w:pPr>
            <w:r w:rsidRPr="00184E30">
              <w:rPr>
                <w:rFonts w:ascii="Arial" w:hAnsi="Arial" w:cs="Arial"/>
              </w:rPr>
              <w:t>5</w:t>
            </w:r>
          </w:p>
        </w:tc>
        <w:tc>
          <w:tcPr>
            <w:tcW w:w="3543" w:type="dxa"/>
          </w:tcPr>
          <w:p w14:paraId="50ACE5BF" w14:textId="77777777" w:rsidR="00414167" w:rsidRPr="00184E30" w:rsidRDefault="00414167" w:rsidP="001D358D">
            <w:pPr>
              <w:spacing w:before="40" w:after="40"/>
              <w:jc w:val="center"/>
              <w:rPr>
                <w:rFonts w:ascii="Arial" w:hAnsi="Arial" w:cs="Arial"/>
              </w:rPr>
            </w:pPr>
            <w:r w:rsidRPr="00184E30">
              <w:rPr>
                <w:rFonts w:ascii="Arial" w:hAnsi="Arial" w:cs="Arial"/>
              </w:rPr>
              <w:t>1.7 and 1.8</w:t>
            </w:r>
          </w:p>
        </w:tc>
        <w:tc>
          <w:tcPr>
            <w:tcW w:w="7371" w:type="dxa"/>
          </w:tcPr>
          <w:p w14:paraId="13F6ACED" w14:textId="62A01B1F" w:rsidR="00414167" w:rsidRPr="00184E30" w:rsidRDefault="00414167" w:rsidP="001D358D">
            <w:pPr>
              <w:spacing w:before="40" w:after="40"/>
              <w:rPr>
                <w:rFonts w:ascii="Arial" w:hAnsi="Arial" w:cs="Arial"/>
              </w:rPr>
            </w:pPr>
            <w:r w:rsidRPr="00184E30">
              <w:rPr>
                <w:rFonts w:ascii="Arial" w:hAnsi="Arial" w:cs="Arial"/>
              </w:rPr>
              <w:t>Local and state</w:t>
            </w:r>
            <w:r w:rsidR="00120B73" w:rsidRPr="00184E30">
              <w:rPr>
                <w:rFonts w:ascii="Arial" w:hAnsi="Arial" w:cs="Arial"/>
              </w:rPr>
              <w:t>-</w:t>
            </w:r>
            <w:r w:rsidRPr="00184E30">
              <w:rPr>
                <w:rFonts w:ascii="Arial" w:hAnsi="Arial" w:cs="Arial"/>
              </w:rPr>
              <w:t>wide public notice</w:t>
            </w:r>
          </w:p>
        </w:tc>
      </w:tr>
      <w:tr w:rsidR="00414167" w:rsidRPr="001A0F41" w14:paraId="07CDF73A" w14:textId="77777777" w:rsidTr="007B1635">
        <w:tc>
          <w:tcPr>
            <w:tcW w:w="3256" w:type="dxa"/>
          </w:tcPr>
          <w:p w14:paraId="4359EA7A" w14:textId="77777777" w:rsidR="00414167" w:rsidRPr="00184E30" w:rsidRDefault="00414167" w:rsidP="001D358D">
            <w:pPr>
              <w:spacing w:before="40" w:after="40"/>
              <w:jc w:val="center"/>
              <w:rPr>
                <w:rFonts w:ascii="Arial" w:hAnsi="Arial" w:cs="Arial"/>
              </w:rPr>
            </w:pPr>
            <w:r w:rsidRPr="00184E30">
              <w:rPr>
                <w:rFonts w:ascii="Arial" w:hAnsi="Arial" w:cs="Arial"/>
              </w:rPr>
              <w:t>13</w:t>
            </w:r>
          </w:p>
        </w:tc>
        <w:tc>
          <w:tcPr>
            <w:tcW w:w="3543" w:type="dxa"/>
          </w:tcPr>
          <w:p w14:paraId="6B85261B" w14:textId="77777777" w:rsidR="00414167" w:rsidRPr="00184E30" w:rsidRDefault="00414167" w:rsidP="001D358D">
            <w:pPr>
              <w:spacing w:before="40" w:after="40"/>
              <w:jc w:val="center"/>
              <w:rPr>
                <w:rFonts w:ascii="Arial" w:hAnsi="Arial" w:cs="Arial"/>
              </w:rPr>
            </w:pPr>
            <w:r w:rsidRPr="00184E30">
              <w:rPr>
                <w:rFonts w:ascii="Arial" w:hAnsi="Arial" w:cs="Arial"/>
              </w:rPr>
              <w:t>4.39</w:t>
            </w:r>
          </w:p>
        </w:tc>
        <w:tc>
          <w:tcPr>
            <w:tcW w:w="7371" w:type="dxa"/>
          </w:tcPr>
          <w:p w14:paraId="6E13C734" w14:textId="333D51C6" w:rsidR="00414167" w:rsidRPr="00184E30" w:rsidRDefault="00414167" w:rsidP="001D358D">
            <w:pPr>
              <w:spacing w:before="40" w:after="40"/>
              <w:rPr>
                <w:rFonts w:ascii="Arial" w:hAnsi="Arial" w:cs="Arial"/>
              </w:rPr>
            </w:pPr>
            <w:r w:rsidRPr="00184E30">
              <w:rPr>
                <w:rFonts w:ascii="Arial" w:hAnsi="Arial" w:cs="Arial"/>
              </w:rPr>
              <w:t>Close of enrolments (state</w:t>
            </w:r>
            <w:r w:rsidR="00120B73" w:rsidRPr="00184E30">
              <w:rPr>
                <w:rFonts w:ascii="Arial" w:hAnsi="Arial" w:cs="Arial"/>
              </w:rPr>
              <w:t>-</w:t>
            </w:r>
            <w:r w:rsidRPr="00184E30">
              <w:rPr>
                <w:rFonts w:ascii="Arial" w:hAnsi="Arial" w:cs="Arial"/>
              </w:rPr>
              <w:t>wide public notice)</w:t>
            </w:r>
          </w:p>
        </w:tc>
      </w:tr>
      <w:tr w:rsidR="00414167" w:rsidRPr="001A0F41" w14:paraId="51E9B478" w14:textId="77777777" w:rsidTr="007B1635">
        <w:tc>
          <w:tcPr>
            <w:tcW w:w="3256" w:type="dxa"/>
          </w:tcPr>
          <w:p w14:paraId="03921DC0" w14:textId="77777777" w:rsidR="00414167" w:rsidRPr="00184E30" w:rsidRDefault="00414167" w:rsidP="001D358D">
            <w:pPr>
              <w:spacing w:before="40" w:after="40"/>
              <w:jc w:val="center"/>
              <w:rPr>
                <w:rFonts w:ascii="Arial" w:hAnsi="Arial" w:cs="Arial"/>
              </w:rPr>
            </w:pPr>
            <w:r w:rsidRPr="00184E30">
              <w:rPr>
                <w:rFonts w:ascii="Arial" w:hAnsi="Arial" w:cs="Arial"/>
              </w:rPr>
              <w:t>14</w:t>
            </w:r>
          </w:p>
        </w:tc>
        <w:tc>
          <w:tcPr>
            <w:tcW w:w="3543" w:type="dxa"/>
          </w:tcPr>
          <w:p w14:paraId="178C12A3" w14:textId="77777777" w:rsidR="00414167" w:rsidRPr="00184E30" w:rsidRDefault="00414167" w:rsidP="001D358D">
            <w:pPr>
              <w:spacing w:before="40" w:after="40"/>
              <w:jc w:val="center"/>
              <w:rPr>
                <w:rFonts w:ascii="Arial" w:hAnsi="Arial" w:cs="Arial"/>
              </w:rPr>
            </w:pPr>
            <w:r w:rsidRPr="00184E30">
              <w:rPr>
                <w:rFonts w:ascii="Arial" w:hAnsi="Arial" w:cs="Arial"/>
              </w:rPr>
              <w:t>4.47</w:t>
            </w:r>
          </w:p>
        </w:tc>
        <w:tc>
          <w:tcPr>
            <w:tcW w:w="7371" w:type="dxa"/>
          </w:tcPr>
          <w:p w14:paraId="73B3C06B" w14:textId="5276E6C8" w:rsidR="00414167" w:rsidRPr="00184E30" w:rsidRDefault="00414167" w:rsidP="001D358D">
            <w:pPr>
              <w:spacing w:before="40" w:after="40"/>
              <w:rPr>
                <w:rFonts w:ascii="Arial" w:hAnsi="Arial" w:cs="Arial"/>
              </w:rPr>
            </w:pPr>
            <w:r w:rsidRPr="00184E30">
              <w:rPr>
                <w:rFonts w:ascii="Arial" w:hAnsi="Arial" w:cs="Arial"/>
              </w:rPr>
              <w:t>Call for nominations (state</w:t>
            </w:r>
            <w:r w:rsidR="00120B73" w:rsidRPr="00184E30">
              <w:rPr>
                <w:rFonts w:ascii="Arial" w:hAnsi="Arial" w:cs="Arial"/>
              </w:rPr>
              <w:t>-</w:t>
            </w:r>
            <w:r w:rsidRPr="00184E30">
              <w:rPr>
                <w:rFonts w:ascii="Arial" w:hAnsi="Arial" w:cs="Arial"/>
              </w:rPr>
              <w:t>wide public notice)</w:t>
            </w:r>
          </w:p>
        </w:tc>
      </w:tr>
      <w:tr w:rsidR="00414167" w:rsidRPr="001A0F41" w14:paraId="6530C1BC" w14:textId="77777777" w:rsidTr="007B1635">
        <w:tc>
          <w:tcPr>
            <w:tcW w:w="3256" w:type="dxa"/>
          </w:tcPr>
          <w:p w14:paraId="0DBD3324" w14:textId="77777777" w:rsidR="00414167" w:rsidRPr="00184E30" w:rsidRDefault="00414167" w:rsidP="001D358D">
            <w:pPr>
              <w:spacing w:before="40" w:after="40"/>
              <w:jc w:val="center"/>
              <w:rPr>
                <w:rFonts w:ascii="Arial" w:hAnsi="Arial" w:cs="Arial"/>
              </w:rPr>
            </w:pPr>
            <w:r w:rsidRPr="00184E30">
              <w:rPr>
                <w:rFonts w:ascii="Arial" w:hAnsi="Arial" w:cs="Arial"/>
              </w:rPr>
              <w:t>16</w:t>
            </w:r>
          </w:p>
        </w:tc>
        <w:tc>
          <w:tcPr>
            <w:tcW w:w="3543" w:type="dxa"/>
          </w:tcPr>
          <w:p w14:paraId="2E5FB3DC" w14:textId="77777777" w:rsidR="00414167" w:rsidRPr="00184E30" w:rsidRDefault="00414167" w:rsidP="001D358D">
            <w:pPr>
              <w:spacing w:before="40" w:after="40"/>
              <w:jc w:val="center"/>
              <w:rPr>
                <w:rFonts w:ascii="Arial" w:hAnsi="Arial" w:cs="Arial"/>
              </w:rPr>
            </w:pPr>
            <w:r w:rsidRPr="00184E30">
              <w:rPr>
                <w:rFonts w:ascii="Arial" w:hAnsi="Arial" w:cs="Arial"/>
              </w:rPr>
              <w:t>4.52</w:t>
            </w:r>
          </w:p>
        </w:tc>
        <w:tc>
          <w:tcPr>
            <w:tcW w:w="7371" w:type="dxa"/>
          </w:tcPr>
          <w:p w14:paraId="2883D936" w14:textId="77777777" w:rsidR="00414167" w:rsidRPr="00184E30" w:rsidRDefault="00414167" w:rsidP="001D358D">
            <w:pPr>
              <w:spacing w:before="40" w:after="40"/>
              <w:rPr>
                <w:rFonts w:ascii="Arial" w:hAnsi="Arial" w:cs="Arial"/>
              </w:rPr>
            </w:pPr>
            <w:r w:rsidRPr="00184E30">
              <w:rPr>
                <w:rFonts w:ascii="Arial" w:hAnsi="Arial" w:cs="Arial"/>
              </w:rPr>
              <w:t>Exhibition of candidates’ details (on local government website)</w:t>
            </w:r>
          </w:p>
        </w:tc>
      </w:tr>
      <w:tr w:rsidR="00414167" w:rsidRPr="001A0F41" w14:paraId="3C8A66F9" w14:textId="77777777" w:rsidTr="007B1635">
        <w:tc>
          <w:tcPr>
            <w:tcW w:w="3256" w:type="dxa"/>
          </w:tcPr>
          <w:p w14:paraId="1A853053" w14:textId="77777777" w:rsidR="00414167" w:rsidRPr="00184E30" w:rsidRDefault="00414167" w:rsidP="001D358D">
            <w:pPr>
              <w:spacing w:before="40" w:after="40"/>
              <w:jc w:val="center"/>
              <w:rPr>
                <w:rFonts w:ascii="Arial" w:hAnsi="Arial" w:cs="Arial"/>
              </w:rPr>
            </w:pPr>
            <w:r w:rsidRPr="00184E30">
              <w:rPr>
                <w:rFonts w:ascii="Arial" w:hAnsi="Arial" w:cs="Arial"/>
              </w:rPr>
              <w:t>17</w:t>
            </w:r>
          </w:p>
        </w:tc>
        <w:tc>
          <w:tcPr>
            <w:tcW w:w="3543" w:type="dxa"/>
          </w:tcPr>
          <w:p w14:paraId="029BB0A1" w14:textId="77777777" w:rsidR="00414167" w:rsidRPr="00184E30" w:rsidRDefault="00414167" w:rsidP="001D358D">
            <w:pPr>
              <w:spacing w:before="40" w:after="40"/>
              <w:jc w:val="center"/>
              <w:rPr>
                <w:rFonts w:ascii="Arial" w:hAnsi="Arial" w:cs="Arial"/>
              </w:rPr>
            </w:pPr>
            <w:r w:rsidRPr="00184E30">
              <w:rPr>
                <w:rFonts w:ascii="Arial" w:hAnsi="Arial" w:cs="Arial"/>
              </w:rPr>
              <w:t>4.64</w:t>
            </w:r>
          </w:p>
        </w:tc>
        <w:tc>
          <w:tcPr>
            <w:tcW w:w="7371" w:type="dxa"/>
          </w:tcPr>
          <w:p w14:paraId="29D3C71D" w14:textId="368055EE" w:rsidR="00414167" w:rsidRPr="00184E30" w:rsidRDefault="00414167" w:rsidP="001D358D">
            <w:pPr>
              <w:spacing w:before="40" w:after="40"/>
              <w:rPr>
                <w:rFonts w:ascii="Arial" w:hAnsi="Arial" w:cs="Arial"/>
              </w:rPr>
            </w:pPr>
            <w:r w:rsidRPr="00184E30">
              <w:rPr>
                <w:rFonts w:ascii="Arial" w:hAnsi="Arial" w:cs="Arial"/>
              </w:rPr>
              <w:t>Election notice (state</w:t>
            </w:r>
            <w:r w:rsidR="00120B73" w:rsidRPr="00184E30">
              <w:rPr>
                <w:rFonts w:ascii="Arial" w:hAnsi="Arial" w:cs="Arial"/>
              </w:rPr>
              <w:t>-</w:t>
            </w:r>
            <w:r w:rsidRPr="00184E30">
              <w:rPr>
                <w:rFonts w:ascii="Arial" w:hAnsi="Arial" w:cs="Arial"/>
              </w:rPr>
              <w:t>wide public notice)</w:t>
            </w:r>
          </w:p>
        </w:tc>
      </w:tr>
      <w:tr w:rsidR="00414167" w:rsidRPr="001A0F41" w14:paraId="587EECFE" w14:textId="77777777" w:rsidTr="007B1635">
        <w:tc>
          <w:tcPr>
            <w:tcW w:w="3256" w:type="dxa"/>
          </w:tcPr>
          <w:p w14:paraId="249D3B38" w14:textId="77777777" w:rsidR="00414167" w:rsidRPr="00184E30" w:rsidRDefault="00414167" w:rsidP="001D358D">
            <w:pPr>
              <w:spacing w:before="40" w:after="40"/>
              <w:jc w:val="center"/>
              <w:rPr>
                <w:rFonts w:ascii="Arial" w:hAnsi="Arial" w:cs="Arial"/>
              </w:rPr>
            </w:pPr>
            <w:r w:rsidRPr="00184E30">
              <w:rPr>
                <w:rFonts w:ascii="Arial" w:hAnsi="Arial" w:cs="Arial"/>
              </w:rPr>
              <w:t>20</w:t>
            </w:r>
          </w:p>
        </w:tc>
        <w:tc>
          <w:tcPr>
            <w:tcW w:w="3543" w:type="dxa"/>
          </w:tcPr>
          <w:p w14:paraId="3EF5A83D" w14:textId="77777777" w:rsidR="00414167" w:rsidRPr="00184E30" w:rsidRDefault="00414167" w:rsidP="001D358D">
            <w:pPr>
              <w:spacing w:before="40" w:after="40"/>
              <w:jc w:val="center"/>
              <w:rPr>
                <w:rFonts w:ascii="Arial" w:hAnsi="Arial" w:cs="Arial"/>
              </w:rPr>
            </w:pPr>
            <w:r w:rsidRPr="00184E30">
              <w:rPr>
                <w:rFonts w:ascii="Arial" w:hAnsi="Arial" w:cs="Arial"/>
              </w:rPr>
              <w:t>5.29</w:t>
            </w:r>
          </w:p>
        </w:tc>
        <w:tc>
          <w:tcPr>
            <w:tcW w:w="7371" w:type="dxa"/>
          </w:tcPr>
          <w:p w14:paraId="7143FE47" w14:textId="77777777" w:rsidR="00414167" w:rsidRPr="00184E30" w:rsidRDefault="00414167" w:rsidP="001D358D">
            <w:pPr>
              <w:spacing w:before="40" w:after="40"/>
              <w:rPr>
                <w:rFonts w:ascii="Arial" w:hAnsi="Arial" w:cs="Arial"/>
              </w:rPr>
            </w:pPr>
            <w:r w:rsidRPr="00184E30">
              <w:rPr>
                <w:rFonts w:ascii="Arial" w:hAnsi="Arial" w:cs="Arial"/>
              </w:rPr>
              <w:t>Convening electors’ meetings (local public notice)</w:t>
            </w:r>
          </w:p>
        </w:tc>
      </w:tr>
      <w:tr w:rsidR="00414167" w:rsidRPr="001A0F41" w14:paraId="23E4E7D9" w14:textId="77777777" w:rsidTr="007B1635">
        <w:tc>
          <w:tcPr>
            <w:tcW w:w="3256" w:type="dxa"/>
          </w:tcPr>
          <w:p w14:paraId="1856A837" w14:textId="77777777" w:rsidR="00414167" w:rsidRPr="00184E30" w:rsidRDefault="00414167" w:rsidP="001D358D">
            <w:pPr>
              <w:spacing w:before="40" w:after="40"/>
              <w:jc w:val="center"/>
              <w:rPr>
                <w:rFonts w:ascii="Arial" w:hAnsi="Arial" w:cs="Arial"/>
              </w:rPr>
            </w:pPr>
            <w:r w:rsidRPr="00184E30">
              <w:rPr>
                <w:rFonts w:ascii="Arial" w:hAnsi="Arial" w:cs="Arial"/>
              </w:rPr>
              <w:t>24</w:t>
            </w:r>
          </w:p>
        </w:tc>
        <w:tc>
          <w:tcPr>
            <w:tcW w:w="3543" w:type="dxa"/>
          </w:tcPr>
          <w:p w14:paraId="4F7FF496" w14:textId="77777777" w:rsidR="00414167" w:rsidRPr="00184E30" w:rsidRDefault="00414167" w:rsidP="001D358D">
            <w:pPr>
              <w:spacing w:before="40" w:after="40"/>
              <w:jc w:val="center"/>
              <w:rPr>
                <w:rFonts w:ascii="Arial" w:hAnsi="Arial" w:cs="Arial"/>
              </w:rPr>
            </w:pPr>
            <w:r w:rsidRPr="00184E30">
              <w:rPr>
                <w:rFonts w:ascii="Arial" w:hAnsi="Arial" w:cs="Arial"/>
              </w:rPr>
              <w:t>5.50</w:t>
            </w:r>
          </w:p>
        </w:tc>
        <w:tc>
          <w:tcPr>
            <w:tcW w:w="7371" w:type="dxa"/>
          </w:tcPr>
          <w:p w14:paraId="7AD6F794" w14:textId="77777777" w:rsidR="00414167" w:rsidRPr="00184E30" w:rsidRDefault="00414167" w:rsidP="001D358D">
            <w:pPr>
              <w:spacing w:before="40" w:after="40"/>
              <w:rPr>
                <w:rFonts w:ascii="Arial" w:hAnsi="Arial" w:cs="Arial"/>
              </w:rPr>
            </w:pPr>
            <w:r w:rsidRPr="00184E30">
              <w:rPr>
                <w:rFonts w:ascii="Arial" w:hAnsi="Arial" w:cs="Arial"/>
              </w:rPr>
              <w:t>Additional payments to employees (local public notice and publication on website)</w:t>
            </w:r>
          </w:p>
        </w:tc>
      </w:tr>
      <w:tr w:rsidR="00414167" w:rsidRPr="001A0F41" w14:paraId="7F85AAA1" w14:textId="77777777" w:rsidTr="007B1635">
        <w:tc>
          <w:tcPr>
            <w:tcW w:w="3256" w:type="dxa"/>
          </w:tcPr>
          <w:p w14:paraId="1F9F25B5" w14:textId="77777777" w:rsidR="00414167" w:rsidRPr="00184E30" w:rsidRDefault="00414167" w:rsidP="001D358D">
            <w:pPr>
              <w:spacing w:before="40" w:after="40"/>
              <w:jc w:val="center"/>
              <w:rPr>
                <w:rFonts w:ascii="Arial" w:hAnsi="Arial" w:cs="Arial"/>
              </w:rPr>
            </w:pPr>
            <w:r w:rsidRPr="00184E30">
              <w:rPr>
                <w:rFonts w:ascii="Arial" w:hAnsi="Arial" w:cs="Arial"/>
              </w:rPr>
              <w:t>57</w:t>
            </w:r>
          </w:p>
        </w:tc>
        <w:tc>
          <w:tcPr>
            <w:tcW w:w="3543" w:type="dxa"/>
          </w:tcPr>
          <w:p w14:paraId="37765B3C" w14:textId="77777777" w:rsidR="00414167" w:rsidRPr="00184E30" w:rsidRDefault="00414167" w:rsidP="001D358D">
            <w:pPr>
              <w:spacing w:before="40" w:after="40"/>
              <w:jc w:val="center"/>
              <w:rPr>
                <w:rFonts w:ascii="Arial" w:hAnsi="Arial" w:cs="Arial"/>
              </w:rPr>
            </w:pPr>
            <w:r w:rsidRPr="00184E30">
              <w:rPr>
                <w:rFonts w:ascii="Arial" w:hAnsi="Arial" w:cs="Arial"/>
              </w:rPr>
              <w:t>5.120</w:t>
            </w:r>
          </w:p>
        </w:tc>
        <w:tc>
          <w:tcPr>
            <w:tcW w:w="7371" w:type="dxa"/>
          </w:tcPr>
          <w:p w14:paraId="5296D567" w14:textId="77777777" w:rsidR="00414167" w:rsidRPr="00184E30" w:rsidRDefault="00414167" w:rsidP="001D358D">
            <w:pPr>
              <w:spacing w:before="40" w:after="40"/>
              <w:rPr>
                <w:rFonts w:ascii="Arial" w:hAnsi="Arial" w:cs="Arial"/>
              </w:rPr>
            </w:pPr>
            <w:r w:rsidRPr="00184E30">
              <w:rPr>
                <w:rFonts w:ascii="Arial" w:hAnsi="Arial" w:cs="Arial"/>
              </w:rPr>
              <w:t>Complaints officer</w:t>
            </w:r>
          </w:p>
        </w:tc>
      </w:tr>
      <w:tr w:rsidR="00414167" w:rsidRPr="001A0F41" w14:paraId="2C9F7B51" w14:textId="77777777" w:rsidTr="007B1635">
        <w:tc>
          <w:tcPr>
            <w:tcW w:w="3256" w:type="dxa"/>
          </w:tcPr>
          <w:p w14:paraId="45EFD700" w14:textId="77777777" w:rsidR="00414167" w:rsidRPr="00184E30" w:rsidRDefault="00414167" w:rsidP="001D358D">
            <w:pPr>
              <w:spacing w:before="40" w:after="40"/>
              <w:jc w:val="center"/>
              <w:rPr>
                <w:rFonts w:ascii="Arial" w:hAnsi="Arial" w:cs="Arial"/>
              </w:rPr>
            </w:pPr>
            <w:r w:rsidRPr="00184E30">
              <w:rPr>
                <w:rFonts w:ascii="Arial" w:hAnsi="Arial" w:cs="Arial"/>
              </w:rPr>
              <w:t>64</w:t>
            </w:r>
          </w:p>
        </w:tc>
        <w:tc>
          <w:tcPr>
            <w:tcW w:w="3543" w:type="dxa"/>
          </w:tcPr>
          <w:p w14:paraId="1D18063A" w14:textId="77777777" w:rsidR="00414167" w:rsidRPr="00184E30" w:rsidRDefault="00414167" w:rsidP="001D358D">
            <w:pPr>
              <w:spacing w:before="40" w:after="40"/>
              <w:jc w:val="center"/>
              <w:rPr>
                <w:rFonts w:ascii="Arial" w:hAnsi="Arial" w:cs="Arial"/>
              </w:rPr>
            </w:pPr>
            <w:r w:rsidRPr="00184E30">
              <w:rPr>
                <w:rFonts w:ascii="Arial" w:hAnsi="Arial" w:cs="Arial"/>
              </w:rPr>
              <w:t>9.10</w:t>
            </w:r>
          </w:p>
        </w:tc>
        <w:tc>
          <w:tcPr>
            <w:tcW w:w="7371" w:type="dxa"/>
          </w:tcPr>
          <w:p w14:paraId="3DB38FC6" w14:textId="77777777" w:rsidR="00414167" w:rsidRPr="00184E30" w:rsidRDefault="00414167" w:rsidP="001D358D">
            <w:pPr>
              <w:spacing w:before="40" w:after="40"/>
              <w:rPr>
                <w:rFonts w:ascii="Arial" w:hAnsi="Arial" w:cs="Arial"/>
              </w:rPr>
            </w:pPr>
            <w:r w:rsidRPr="00184E30">
              <w:rPr>
                <w:rFonts w:ascii="Arial" w:hAnsi="Arial" w:cs="Arial"/>
              </w:rPr>
              <w:t>Appointment of authorised person</w:t>
            </w:r>
          </w:p>
        </w:tc>
      </w:tr>
      <w:tr w:rsidR="00414167" w:rsidRPr="001A0F41" w14:paraId="0C9CA4F3" w14:textId="77777777" w:rsidTr="007B1635">
        <w:tc>
          <w:tcPr>
            <w:tcW w:w="3256" w:type="dxa"/>
          </w:tcPr>
          <w:p w14:paraId="7D4AAAD6" w14:textId="77777777" w:rsidR="00414167" w:rsidRPr="00184E30" w:rsidRDefault="00414167" w:rsidP="001D358D">
            <w:pPr>
              <w:spacing w:before="40" w:after="40"/>
              <w:jc w:val="center"/>
              <w:rPr>
                <w:rFonts w:ascii="Arial" w:hAnsi="Arial" w:cs="Arial"/>
              </w:rPr>
            </w:pPr>
            <w:r w:rsidRPr="00184E30">
              <w:rPr>
                <w:rFonts w:ascii="Arial" w:hAnsi="Arial" w:cs="Arial"/>
              </w:rPr>
              <w:t>65</w:t>
            </w:r>
          </w:p>
        </w:tc>
        <w:tc>
          <w:tcPr>
            <w:tcW w:w="3543" w:type="dxa"/>
          </w:tcPr>
          <w:p w14:paraId="3488E0D5" w14:textId="77777777" w:rsidR="00414167" w:rsidRPr="00184E30" w:rsidRDefault="00414167" w:rsidP="001D358D">
            <w:pPr>
              <w:spacing w:before="40" w:after="40"/>
              <w:jc w:val="center"/>
              <w:rPr>
                <w:rFonts w:ascii="Arial" w:hAnsi="Arial" w:cs="Arial"/>
              </w:rPr>
            </w:pPr>
            <w:r w:rsidRPr="00184E30">
              <w:rPr>
                <w:rFonts w:ascii="Arial" w:hAnsi="Arial" w:cs="Arial"/>
              </w:rPr>
              <w:t>9.13</w:t>
            </w:r>
          </w:p>
        </w:tc>
        <w:tc>
          <w:tcPr>
            <w:tcW w:w="7371" w:type="dxa"/>
          </w:tcPr>
          <w:p w14:paraId="0226266C" w14:textId="77777777" w:rsidR="00414167" w:rsidRPr="00184E30" w:rsidRDefault="00414167" w:rsidP="001D358D">
            <w:pPr>
              <w:spacing w:before="40" w:after="40"/>
              <w:rPr>
                <w:rFonts w:ascii="Arial" w:hAnsi="Arial" w:cs="Arial"/>
              </w:rPr>
            </w:pPr>
            <w:r w:rsidRPr="00184E30">
              <w:rPr>
                <w:rFonts w:ascii="Arial" w:hAnsi="Arial" w:cs="Arial"/>
              </w:rPr>
              <w:t>Onus of proof (authorised person)</w:t>
            </w:r>
          </w:p>
        </w:tc>
      </w:tr>
      <w:tr w:rsidR="00414167" w:rsidRPr="001A0F41" w14:paraId="191FB378" w14:textId="77777777" w:rsidTr="007B1635">
        <w:tc>
          <w:tcPr>
            <w:tcW w:w="3256" w:type="dxa"/>
          </w:tcPr>
          <w:p w14:paraId="7070BC18" w14:textId="77777777" w:rsidR="00414167" w:rsidRPr="00184E30" w:rsidRDefault="00414167" w:rsidP="001D358D">
            <w:pPr>
              <w:spacing w:before="40" w:after="40"/>
              <w:jc w:val="center"/>
              <w:rPr>
                <w:rFonts w:ascii="Arial" w:hAnsi="Arial" w:cs="Arial"/>
              </w:rPr>
            </w:pPr>
            <w:r w:rsidRPr="00184E30">
              <w:rPr>
                <w:rFonts w:ascii="Arial" w:hAnsi="Arial" w:cs="Arial"/>
              </w:rPr>
              <w:t>66</w:t>
            </w:r>
          </w:p>
        </w:tc>
        <w:tc>
          <w:tcPr>
            <w:tcW w:w="3543" w:type="dxa"/>
          </w:tcPr>
          <w:p w14:paraId="2FECCFEF" w14:textId="77777777" w:rsidR="00414167" w:rsidRPr="00184E30" w:rsidRDefault="00414167" w:rsidP="001D358D">
            <w:pPr>
              <w:spacing w:before="40" w:after="40"/>
              <w:jc w:val="center"/>
              <w:rPr>
                <w:rFonts w:ascii="Arial" w:hAnsi="Arial" w:cs="Arial"/>
              </w:rPr>
            </w:pPr>
            <w:r w:rsidRPr="00184E30">
              <w:rPr>
                <w:rFonts w:ascii="Arial" w:hAnsi="Arial" w:cs="Arial"/>
              </w:rPr>
              <w:t>9.15</w:t>
            </w:r>
          </w:p>
        </w:tc>
        <w:tc>
          <w:tcPr>
            <w:tcW w:w="7371" w:type="dxa"/>
          </w:tcPr>
          <w:p w14:paraId="2AF1CBAF" w14:textId="77777777" w:rsidR="00414167" w:rsidRPr="00184E30" w:rsidRDefault="00414167" w:rsidP="001D358D">
            <w:pPr>
              <w:spacing w:before="40" w:after="40"/>
              <w:rPr>
                <w:rFonts w:ascii="Arial" w:hAnsi="Arial" w:cs="Arial"/>
              </w:rPr>
            </w:pPr>
            <w:r w:rsidRPr="00184E30">
              <w:rPr>
                <w:rFonts w:ascii="Arial" w:hAnsi="Arial" w:cs="Arial"/>
              </w:rPr>
              <w:t>Terms (authorised person)</w:t>
            </w:r>
          </w:p>
        </w:tc>
      </w:tr>
      <w:tr w:rsidR="00414167" w:rsidRPr="001A0F41" w14:paraId="31BC49D8" w14:textId="77777777" w:rsidTr="007B1635">
        <w:tc>
          <w:tcPr>
            <w:tcW w:w="3256" w:type="dxa"/>
          </w:tcPr>
          <w:p w14:paraId="7034D397" w14:textId="77777777" w:rsidR="00414167" w:rsidRPr="00184E30" w:rsidRDefault="00414167" w:rsidP="001D358D">
            <w:pPr>
              <w:spacing w:before="40" w:after="40"/>
              <w:jc w:val="center"/>
              <w:rPr>
                <w:rFonts w:ascii="Arial" w:hAnsi="Arial" w:cs="Arial"/>
              </w:rPr>
            </w:pPr>
            <w:r w:rsidRPr="00184E30">
              <w:rPr>
                <w:rFonts w:ascii="Arial" w:hAnsi="Arial" w:cs="Arial"/>
              </w:rPr>
              <w:t>68</w:t>
            </w:r>
          </w:p>
        </w:tc>
        <w:tc>
          <w:tcPr>
            <w:tcW w:w="3543" w:type="dxa"/>
          </w:tcPr>
          <w:p w14:paraId="35A62F42" w14:textId="77777777" w:rsidR="00414167" w:rsidRPr="00184E30" w:rsidRDefault="00414167" w:rsidP="001D358D">
            <w:pPr>
              <w:spacing w:before="40" w:after="40"/>
              <w:jc w:val="center"/>
              <w:rPr>
                <w:rFonts w:ascii="Arial" w:hAnsi="Arial" w:cs="Arial"/>
              </w:rPr>
            </w:pPr>
            <w:r w:rsidRPr="00184E30">
              <w:rPr>
                <w:rFonts w:ascii="Arial" w:hAnsi="Arial" w:cs="Arial"/>
              </w:rPr>
              <w:t>9.49A</w:t>
            </w:r>
          </w:p>
        </w:tc>
        <w:tc>
          <w:tcPr>
            <w:tcW w:w="7371" w:type="dxa"/>
          </w:tcPr>
          <w:p w14:paraId="436FC3EE" w14:textId="77777777" w:rsidR="00414167" w:rsidRPr="00184E30" w:rsidRDefault="00414167" w:rsidP="001D358D">
            <w:pPr>
              <w:spacing w:before="40" w:after="40"/>
              <w:rPr>
                <w:rFonts w:ascii="Arial" w:hAnsi="Arial" w:cs="Arial"/>
              </w:rPr>
            </w:pPr>
            <w:r w:rsidRPr="00184E30">
              <w:rPr>
                <w:rFonts w:ascii="Arial" w:hAnsi="Arial" w:cs="Arial"/>
              </w:rPr>
              <w:t>Execution of documents</w:t>
            </w:r>
          </w:p>
        </w:tc>
      </w:tr>
      <w:tr w:rsidR="00414167" w:rsidRPr="001A0F41" w14:paraId="720C2216" w14:textId="77777777" w:rsidTr="007B1635">
        <w:tc>
          <w:tcPr>
            <w:tcW w:w="3256" w:type="dxa"/>
          </w:tcPr>
          <w:p w14:paraId="1F69A8C8" w14:textId="77777777" w:rsidR="00414167" w:rsidRPr="00184E30" w:rsidRDefault="00414167" w:rsidP="001D358D">
            <w:pPr>
              <w:spacing w:before="40" w:after="40"/>
              <w:jc w:val="center"/>
              <w:rPr>
                <w:rFonts w:ascii="Arial" w:hAnsi="Arial" w:cs="Arial"/>
              </w:rPr>
            </w:pPr>
            <w:r w:rsidRPr="00184E30">
              <w:rPr>
                <w:rFonts w:ascii="Arial" w:hAnsi="Arial" w:cs="Arial"/>
              </w:rPr>
              <w:t>74(1) and (2)</w:t>
            </w:r>
          </w:p>
        </w:tc>
        <w:tc>
          <w:tcPr>
            <w:tcW w:w="3543" w:type="dxa"/>
          </w:tcPr>
          <w:p w14:paraId="337CB4CF" w14:textId="77777777" w:rsidR="00414167" w:rsidRPr="00184E30" w:rsidRDefault="00414167" w:rsidP="001D358D">
            <w:pPr>
              <w:spacing w:before="40" w:after="40"/>
              <w:jc w:val="center"/>
              <w:rPr>
                <w:rFonts w:ascii="Arial" w:hAnsi="Arial" w:cs="Arial"/>
              </w:rPr>
            </w:pPr>
            <w:r w:rsidRPr="00184E30">
              <w:rPr>
                <w:rFonts w:ascii="Arial" w:hAnsi="Arial" w:cs="Arial"/>
              </w:rPr>
              <w:t>Schedule 9.3</w:t>
            </w:r>
          </w:p>
        </w:tc>
        <w:tc>
          <w:tcPr>
            <w:tcW w:w="7371" w:type="dxa"/>
          </w:tcPr>
          <w:p w14:paraId="52312CDC" w14:textId="77777777" w:rsidR="00414167" w:rsidRPr="00184E30" w:rsidRDefault="00414167" w:rsidP="001D358D">
            <w:pPr>
              <w:spacing w:before="40" w:after="40"/>
              <w:rPr>
                <w:rFonts w:ascii="Arial" w:hAnsi="Arial" w:cs="Arial"/>
              </w:rPr>
            </w:pPr>
            <w:r w:rsidRPr="00184E30">
              <w:rPr>
                <w:rFonts w:ascii="Arial" w:hAnsi="Arial" w:cs="Arial"/>
              </w:rPr>
              <w:t>Transitional provisions to 1995 Act (senior employee definition removed)</w:t>
            </w:r>
          </w:p>
          <w:p w14:paraId="4392CE96" w14:textId="77777777" w:rsidR="00414167" w:rsidRPr="00184E30" w:rsidRDefault="00414167" w:rsidP="001D358D">
            <w:pPr>
              <w:spacing w:before="40" w:after="40"/>
              <w:rPr>
                <w:rFonts w:ascii="Arial" w:hAnsi="Arial" w:cs="Arial"/>
              </w:rPr>
            </w:pPr>
            <w:r w:rsidRPr="00184E30">
              <w:rPr>
                <w:rFonts w:ascii="Arial" w:hAnsi="Arial" w:cs="Arial"/>
              </w:rPr>
              <w:t>Transitional provisions for the Amendment Act (authorised person)</w:t>
            </w:r>
          </w:p>
        </w:tc>
      </w:tr>
    </w:tbl>
    <w:p w14:paraId="37CA4B32" w14:textId="77777777" w:rsidR="00184E30" w:rsidRDefault="00184E30">
      <w:r>
        <w:br w:type="page"/>
      </w:r>
    </w:p>
    <w:tbl>
      <w:tblPr>
        <w:tblStyle w:val="TableGrid"/>
        <w:tblW w:w="0" w:type="auto"/>
        <w:tblLook w:val="04A0" w:firstRow="1" w:lastRow="0" w:firstColumn="1" w:lastColumn="0" w:noHBand="0" w:noVBand="1"/>
      </w:tblPr>
      <w:tblGrid>
        <w:gridCol w:w="3256"/>
        <w:gridCol w:w="3543"/>
        <w:gridCol w:w="7513"/>
      </w:tblGrid>
      <w:tr w:rsidR="00414167" w:rsidRPr="001A0F41" w14:paraId="760B5E1E" w14:textId="77777777" w:rsidTr="007B1635">
        <w:tc>
          <w:tcPr>
            <w:tcW w:w="3256" w:type="dxa"/>
          </w:tcPr>
          <w:p w14:paraId="56849EC7" w14:textId="10661898" w:rsidR="00414167" w:rsidRPr="00184E30" w:rsidRDefault="00414167" w:rsidP="001D358D">
            <w:pPr>
              <w:spacing w:before="40" w:after="40"/>
              <w:jc w:val="center"/>
              <w:rPr>
                <w:rFonts w:ascii="Arial" w:hAnsi="Arial" w:cs="Arial"/>
              </w:rPr>
            </w:pPr>
            <w:r w:rsidRPr="00184E30">
              <w:rPr>
                <w:rFonts w:ascii="Arial" w:hAnsi="Arial" w:cs="Arial"/>
              </w:rPr>
              <w:lastRenderedPageBreak/>
              <w:t>Part 4</w:t>
            </w:r>
          </w:p>
        </w:tc>
        <w:tc>
          <w:tcPr>
            <w:tcW w:w="3543" w:type="dxa"/>
          </w:tcPr>
          <w:p w14:paraId="38CC0AA4" w14:textId="77777777" w:rsidR="00414167" w:rsidRPr="00184E30" w:rsidRDefault="00414167" w:rsidP="00464F60">
            <w:pPr>
              <w:pStyle w:val="ListParagraph"/>
              <w:numPr>
                <w:ilvl w:val="0"/>
                <w:numId w:val="2"/>
              </w:numPr>
              <w:spacing w:before="40" w:after="40"/>
              <w:contextualSpacing w:val="0"/>
              <w:rPr>
                <w:rFonts w:ascii="Arial" w:hAnsi="Arial" w:cs="Arial"/>
                <w:i/>
              </w:rPr>
            </w:pPr>
            <w:r w:rsidRPr="00184E30">
              <w:rPr>
                <w:rFonts w:ascii="Arial" w:hAnsi="Arial" w:cs="Arial"/>
                <w:i/>
              </w:rPr>
              <w:t>Caravan Parks and Camping Grounds Act 1995</w:t>
            </w:r>
          </w:p>
          <w:p w14:paraId="06C100F6" w14:textId="77777777" w:rsidR="00414167" w:rsidRPr="00184E30" w:rsidRDefault="00414167" w:rsidP="00464F60">
            <w:pPr>
              <w:pStyle w:val="ListParagraph"/>
              <w:numPr>
                <w:ilvl w:val="0"/>
                <w:numId w:val="2"/>
              </w:numPr>
              <w:spacing w:before="40" w:after="40"/>
              <w:contextualSpacing w:val="0"/>
              <w:rPr>
                <w:rFonts w:ascii="Arial" w:hAnsi="Arial" w:cs="Arial"/>
                <w:i/>
              </w:rPr>
            </w:pPr>
            <w:r w:rsidRPr="00184E30">
              <w:rPr>
                <w:rFonts w:ascii="Arial" w:hAnsi="Arial" w:cs="Arial"/>
                <w:i/>
              </w:rPr>
              <w:t>Cat Act 2011</w:t>
            </w:r>
          </w:p>
          <w:p w14:paraId="354E8681" w14:textId="77777777" w:rsidR="00414167" w:rsidRPr="00184E30" w:rsidRDefault="00414167" w:rsidP="00464F60">
            <w:pPr>
              <w:pStyle w:val="ListParagraph"/>
              <w:numPr>
                <w:ilvl w:val="0"/>
                <w:numId w:val="2"/>
              </w:numPr>
              <w:spacing w:before="40" w:after="40"/>
              <w:contextualSpacing w:val="0"/>
              <w:rPr>
                <w:rFonts w:ascii="Arial" w:hAnsi="Arial" w:cs="Arial"/>
                <w:i/>
              </w:rPr>
            </w:pPr>
            <w:r w:rsidRPr="00184E30">
              <w:rPr>
                <w:rFonts w:ascii="Arial" w:hAnsi="Arial" w:cs="Arial"/>
                <w:i/>
              </w:rPr>
              <w:t>Cemeteries Act 1986</w:t>
            </w:r>
          </w:p>
          <w:p w14:paraId="208AD1FD" w14:textId="77777777" w:rsidR="00414167" w:rsidRPr="00184E30" w:rsidRDefault="00414167" w:rsidP="00464F60">
            <w:pPr>
              <w:pStyle w:val="ListParagraph"/>
              <w:numPr>
                <w:ilvl w:val="0"/>
                <w:numId w:val="2"/>
              </w:numPr>
              <w:spacing w:before="40" w:after="40"/>
              <w:contextualSpacing w:val="0"/>
              <w:rPr>
                <w:rFonts w:ascii="Arial" w:hAnsi="Arial" w:cs="Arial"/>
                <w:i/>
              </w:rPr>
            </w:pPr>
            <w:r w:rsidRPr="00184E30">
              <w:rPr>
                <w:rFonts w:ascii="Arial" w:hAnsi="Arial" w:cs="Arial"/>
                <w:i/>
              </w:rPr>
              <w:t>Control of Vehicles (Off-road Areas) Act 1978</w:t>
            </w:r>
          </w:p>
          <w:p w14:paraId="08A6A98F" w14:textId="77777777" w:rsidR="00414167" w:rsidRPr="00184E30" w:rsidRDefault="00414167" w:rsidP="00464F60">
            <w:pPr>
              <w:pStyle w:val="ListParagraph"/>
              <w:numPr>
                <w:ilvl w:val="0"/>
                <w:numId w:val="2"/>
              </w:numPr>
              <w:spacing w:before="40" w:after="40"/>
              <w:contextualSpacing w:val="0"/>
              <w:rPr>
                <w:rFonts w:ascii="Arial" w:hAnsi="Arial" w:cs="Arial"/>
              </w:rPr>
            </w:pPr>
            <w:r w:rsidRPr="00184E30">
              <w:rPr>
                <w:rFonts w:ascii="Arial" w:hAnsi="Arial" w:cs="Arial"/>
                <w:i/>
              </w:rPr>
              <w:t>Dog Act 1976</w:t>
            </w:r>
          </w:p>
        </w:tc>
        <w:tc>
          <w:tcPr>
            <w:tcW w:w="7513" w:type="dxa"/>
          </w:tcPr>
          <w:p w14:paraId="7CC393D5" w14:textId="77777777" w:rsidR="00414167" w:rsidRPr="00184E30" w:rsidRDefault="00414167" w:rsidP="001D358D">
            <w:pPr>
              <w:spacing w:before="40" w:after="40"/>
              <w:rPr>
                <w:rFonts w:ascii="Arial" w:hAnsi="Arial" w:cs="Arial"/>
              </w:rPr>
            </w:pPr>
            <w:r w:rsidRPr="00184E30">
              <w:rPr>
                <w:rFonts w:ascii="Arial" w:hAnsi="Arial" w:cs="Arial"/>
              </w:rPr>
              <w:t>Authorised person</w:t>
            </w:r>
          </w:p>
        </w:tc>
      </w:tr>
    </w:tbl>
    <w:p w14:paraId="1135FCCB" w14:textId="77777777" w:rsidR="00414167" w:rsidRDefault="00414167" w:rsidP="00CA3C38">
      <w:pPr>
        <w:rPr>
          <w:rFonts w:ascii="Arial" w:hAnsi="Arial" w:cs="Arial"/>
          <w:sz w:val="18"/>
          <w:szCs w:val="18"/>
        </w:rPr>
      </w:pPr>
    </w:p>
    <w:tbl>
      <w:tblPr>
        <w:tblStyle w:val="TableGrid1"/>
        <w:tblpPr w:leftFromText="180" w:rightFromText="180" w:vertAnchor="text" w:tblpY="1"/>
        <w:tblOverlap w:val="never"/>
        <w:tblW w:w="14312" w:type="dxa"/>
        <w:tblLayout w:type="fixed"/>
        <w:tblLook w:val="04A0" w:firstRow="1" w:lastRow="0" w:firstColumn="1" w:lastColumn="0" w:noHBand="0" w:noVBand="1"/>
      </w:tblPr>
      <w:tblGrid>
        <w:gridCol w:w="1099"/>
        <w:gridCol w:w="2157"/>
        <w:gridCol w:w="11056"/>
      </w:tblGrid>
      <w:tr w:rsidR="007F2577" w:rsidRPr="004C0107" w14:paraId="2781B5E4" w14:textId="77777777" w:rsidTr="00762DAE">
        <w:trPr>
          <w:tblHeader/>
        </w:trPr>
        <w:tc>
          <w:tcPr>
            <w:tcW w:w="1099" w:type="dxa"/>
            <w:shd w:val="clear" w:color="auto" w:fill="F2F2F2" w:themeFill="background1" w:themeFillShade="F2"/>
          </w:tcPr>
          <w:p w14:paraId="55155291" w14:textId="5FC3CC42"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w:t>
            </w:r>
          </w:p>
        </w:tc>
        <w:tc>
          <w:tcPr>
            <w:tcW w:w="2157" w:type="dxa"/>
            <w:shd w:val="clear" w:color="auto" w:fill="F2F2F2" w:themeFill="background1" w:themeFillShade="F2"/>
          </w:tcPr>
          <w:p w14:paraId="2E0D7465"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Amends</w:t>
            </w:r>
          </w:p>
        </w:tc>
        <w:tc>
          <w:tcPr>
            <w:tcW w:w="11056" w:type="dxa"/>
            <w:shd w:val="clear" w:color="auto" w:fill="F2F2F2" w:themeFill="background1" w:themeFillShade="F2"/>
          </w:tcPr>
          <w:p w14:paraId="553719DC" w14:textId="55A91F3E" w:rsidR="007F2577" w:rsidRPr="00184E30" w:rsidRDefault="007F2577" w:rsidP="003D184C">
            <w:pPr>
              <w:spacing w:before="120" w:after="120" w:line="276" w:lineRule="auto"/>
              <w:rPr>
                <w:rFonts w:ascii="Arial" w:hAnsi="Arial" w:cs="Arial"/>
                <w:sz w:val="22"/>
                <w:szCs w:val="22"/>
                <w:highlight w:val="yellow"/>
              </w:rPr>
            </w:pPr>
            <w:r w:rsidRPr="00184E30">
              <w:rPr>
                <w:rFonts w:ascii="Arial" w:hAnsi="Arial"/>
                <w:sz w:val="22"/>
                <w:szCs w:val="22"/>
              </w:rPr>
              <w:t>Explanation/Guidance</w:t>
            </w:r>
          </w:p>
        </w:tc>
      </w:tr>
      <w:tr w:rsidR="007F2577" w:rsidRPr="004C0107" w14:paraId="7B5C99C4" w14:textId="77777777" w:rsidTr="00762DAE">
        <w:tc>
          <w:tcPr>
            <w:tcW w:w="1099" w:type="dxa"/>
          </w:tcPr>
          <w:p w14:paraId="362BB03D" w14:textId="205EA702"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4</w:t>
            </w:r>
          </w:p>
        </w:tc>
        <w:tc>
          <w:tcPr>
            <w:tcW w:w="2157" w:type="dxa"/>
          </w:tcPr>
          <w:p w14:paraId="4514E7C8" w14:textId="77777777" w:rsidR="007F2577" w:rsidRPr="00184E30" w:rsidRDefault="007F2577" w:rsidP="003D184C">
            <w:pPr>
              <w:spacing w:before="120" w:after="240" w:line="276" w:lineRule="auto"/>
              <w:rPr>
                <w:rFonts w:ascii="Arial" w:hAnsi="Arial"/>
                <w:sz w:val="22"/>
                <w:szCs w:val="22"/>
              </w:rPr>
            </w:pPr>
            <w:r w:rsidRPr="00184E30">
              <w:rPr>
                <w:rFonts w:ascii="Arial" w:hAnsi="Arial"/>
                <w:i/>
                <w:sz w:val="22"/>
                <w:szCs w:val="22"/>
              </w:rPr>
              <w:t xml:space="preserve">Caravan Parks &amp; Camping Grounds Regulations 1997, </w:t>
            </w:r>
            <w:r w:rsidRPr="00184E30">
              <w:rPr>
                <w:rFonts w:ascii="Arial" w:hAnsi="Arial"/>
                <w:sz w:val="22"/>
                <w:szCs w:val="22"/>
              </w:rPr>
              <w:t>Regulation 6</w:t>
            </w:r>
          </w:p>
        </w:tc>
        <w:tc>
          <w:tcPr>
            <w:tcW w:w="11056" w:type="dxa"/>
          </w:tcPr>
          <w:p w14:paraId="4E0CB268" w14:textId="4A4BBEA5"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6 is amended to implement a more streamlined and uniform method of appointing an authorised person across multiple pieces of legislation. All appointments will now be made under section 9.10(2) of the </w:t>
            </w:r>
            <w:r w:rsidRPr="00184E30">
              <w:rPr>
                <w:rFonts w:ascii="Arial" w:hAnsi="Arial" w:cs="Arial"/>
                <w:i/>
                <w:sz w:val="22"/>
                <w:szCs w:val="22"/>
              </w:rPr>
              <w:t>Local Government Act 1995.</w:t>
            </w:r>
            <w:r w:rsidRPr="00184E30">
              <w:rPr>
                <w:rFonts w:ascii="Arial" w:hAnsi="Arial" w:cs="Arial"/>
                <w:sz w:val="22"/>
                <w:szCs w:val="22"/>
              </w:rPr>
              <w:t xml:space="preserve"> The CEO will appoint a person as an “authorised person” for the purpose of exercising functions conferred under the relevant piece of legislation and identity cards will be standardised.</w:t>
            </w:r>
          </w:p>
        </w:tc>
      </w:tr>
      <w:tr w:rsidR="007F2577" w:rsidRPr="004C0107" w14:paraId="06731419" w14:textId="77777777" w:rsidTr="00762DAE">
        <w:tc>
          <w:tcPr>
            <w:tcW w:w="1099" w:type="dxa"/>
          </w:tcPr>
          <w:p w14:paraId="2A83F96D" w14:textId="6A39AA8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5</w:t>
            </w:r>
          </w:p>
        </w:tc>
        <w:tc>
          <w:tcPr>
            <w:tcW w:w="2157" w:type="dxa"/>
          </w:tcPr>
          <w:p w14:paraId="2404A2F1"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Form 5</w:t>
            </w:r>
          </w:p>
        </w:tc>
        <w:tc>
          <w:tcPr>
            <w:tcW w:w="11056" w:type="dxa"/>
          </w:tcPr>
          <w:p w14:paraId="60EBB0F2"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In addition to authorised officers appointed by the local government, the Department has the power to appoint an authorised officer under section 17(1)(a) of the </w:t>
            </w:r>
            <w:r w:rsidRPr="00184E30">
              <w:rPr>
                <w:rFonts w:ascii="Arial" w:hAnsi="Arial" w:cs="Arial"/>
                <w:i/>
                <w:sz w:val="22"/>
                <w:szCs w:val="22"/>
              </w:rPr>
              <w:t>Caravan Parks and Camping Grounds Act 1995</w:t>
            </w:r>
            <w:r w:rsidRPr="00184E30">
              <w:rPr>
                <w:rFonts w:ascii="Arial" w:hAnsi="Arial" w:cs="Arial"/>
                <w:sz w:val="22"/>
                <w:szCs w:val="22"/>
              </w:rPr>
              <w:t xml:space="preserve">.  The ‘Identity Card’ in Form 5 is being modified so that it is only applicable to authorised officers appointed by the Department. </w:t>
            </w:r>
          </w:p>
        </w:tc>
      </w:tr>
      <w:tr w:rsidR="007F2577" w:rsidRPr="004C0107" w14:paraId="21C9786E" w14:textId="77777777" w:rsidTr="00762DAE">
        <w:tc>
          <w:tcPr>
            <w:tcW w:w="1099" w:type="dxa"/>
          </w:tcPr>
          <w:p w14:paraId="07D6B823" w14:textId="414FDCBA"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7-10</w:t>
            </w:r>
          </w:p>
        </w:tc>
        <w:tc>
          <w:tcPr>
            <w:tcW w:w="2157" w:type="dxa"/>
          </w:tcPr>
          <w:p w14:paraId="5362BAE8" w14:textId="77777777" w:rsidR="007F2577" w:rsidRPr="00184E30" w:rsidRDefault="007F2577" w:rsidP="003D184C">
            <w:pPr>
              <w:spacing w:before="120" w:after="240" w:line="276" w:lineRule="auto"/>
              <w:rPr>
                <w:rFonts w:ascii="Arial" w:hAnsi="Arial"/>
                <w:i/>
                <w:sz w:val="22"/>
                <w:szCs w:val="22"/>
              </w:rPr>
            </w:pPr>
            <w:r w:rsidRPr="00184E30">
              <w:rPr>
                <w:rFonts w:ascii="Arial" w:hAnsi="Arial"/>
                <w:i/>
                <w:sz w:val="22"/>
                <w:szCs w:val="22"/>
              </w:rPr>
              <w:t xml:space="preserve">Control of Vehicles (Off-road Areas) Regulations 1979, </w:t>
            </w:r>
            <w:r w:rsidRPr="00184E30">
              <w:rPr>
                <w:rFonts w:ascii="Arial" w:hAnsi="Arial"/>
                <w:sz w:val="22"/>
                <w:szCs w:val="22"/>
              </w:rPr>
              <w:t>Regulation 14, 36,37 and First Schedule</w:t>
            </w:r>
          </w:p>
        </w:tc>
        <w:tc>
          <w:tcPr>
            <w:tcW w:w="11056" w:type="dxa"/>
          </w:tcPr>
          <w:p w14:paraId="0DA925DC"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All references to authorised officer are replaced by a reference to authorised person.  This aligns the terminology across multiple pieces of legislation in the local government portfolio.</w:t>
            </w:r>
          </w:p>
        </w:tc>
      </w:tr>
      <w:tr w:rsidR="007F2577" w:rsidRPr="004C0107" w14:paraId="5C8A0D5D" w14:textId="77777777" w:rsidTr="00762DAE">
        <w:tc>
          <w:tcPr>
            <w:tcW w:w="1099" w:type="dxa"/>
          </w:tcPr>
          <w:p w14:paraId="491DCF87" w14:textId="2FD3A3B0"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Reg 10</w:t>
            </w:r>
          </w:p>
        </w:tc>
        <w:tc>
          <w:tcPr>
            <w:tcW w:w="2157" w:type="dxa"/>
          </w:tcPr>
          <w:p w14:paraId="17AF5765"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First Schedule</w:t>
            </w:r>
          </w:p>
        </w:tc>
        <w:tc>
          <w:tcPr>
            <w:tcW w:w="11056" w:type="dxa"/>
          </w:tcPr>
          <w:p w14:paraId="3CB88001" w14:textId="1176A4E0"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In addition</w:t>
            </w:r>
            <w:r w:rsidR="00610608" w:rsidRPr="00184E30">
              <w:rPr>
                <w:rFonts w:ascii="Arial" w:hAnsi="Arial" w:cs="Arial"/>
                <w:sz w:val="22"/>
                <w:szCs w:val="22"/>
              </w:rPr>
              <w:t xml:space="preserve"> to the above</w:t>
            </w:r>
            <w:r w:rsidRPr="00184E30">
              <w:rPr>
                <w:rFonts w:ascii="Arial" w:hAnsi="Arial" w:cs="Arial"/>
                <w:sz w:val="22"/>
                <w:szCs w:val="22"/>
              </w:rPr>
              <w:t xml:space="preserve">, Form 4 is being amended to make it clear that it is not the authorised person who has the power to withdraw an infringement </w:t>
            </w:r>
            <w:proofErr w:type="gramStart"/>
            <w:r w:rsidRPr="00184E30">
              <w:rPr>
                <w:rFonts w:ascii="Arial" w:hAnsi="Arial" w:cs="Arial"/>
                <w:sz w:val="22"/>
                <w:szCs w:val="22"/>
              </w:rPr>
              <w:t>notice</w:t>
            </w:r>
            <w:proofErr w:type="gramEnd"/>
            <w:r w:rsidRPr="00184E30">
              <w:rPr>
                <w:rFonts w:ascii="Arial" w:hAnsi="Arial" w:cs="Arial"/>
                <w:sz w:val="22"/>
                <w:szCs w:val="22"/>
              </w:rPr>
              <w:t xml:space="preserve"> but a person authorised by the local government. (A person who issues an infringement cannot withdraw it.)</w:t>
            </w:r>
          </w:p>
          <w:p w14:paraId="0D1376B1"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Form 5 will no longer be used by local governments for the appointment of authorised persons, this having been replaced by appointment under section 9.10(2) of the </w:t>
            </w:r>
            <w:r w:rsidRPr="00184E30">
              <w:rPr>
                <w:rFonts w:ascii="Arial" w:hAnsi="Arial" w:cs="Arial"/>
                <w:i/>
                <w:sz w:val="22"/>
                <w:szCs w:val="22"/>
              </w:rPr>
              <w:t>Local Government Act 1995</w:t>
            </w:r>
            <w:r w:rsidRPr="00184E30">
              <w:rPr>
                <w:rFonts w:ascii="Arial" w:hAnsi="Arial" w:cs="Arial"/>
                <w:sz w:val="22"/>
                <w:szCs w:val="22"/>
              </w:rPr>
              <w:t>, thus ensuring consistency across multiple pieces of legislation. Form 5 ‘Certificate of appointment of Authorised Person’ has been modified so it will only be used by the Minister for Local Government using the Minister’s power to appoint an authorised person.  The form has also been modified to require a photograph.</w:t>
            </w:r>
            <w:r w:rsidRPr="00184E30">
              <w:rPr>
                <w:rFonts w:ascii="Arial" w:hAnsi="Arial" w:cs="Arial"/>
                <w:i/>
                <w:sz w:val="22"/>
                <w:szCs w:val="22"/>
              </w:rPr>
              <w:t xml:space="preserve"> </w:t>
            </w:r>
          </w:p>
        </w:tc>
      </w:tr>
      <w:tr w:rsidR="007F2577" w:rsidRPr="004C0107" w14:paraId="0FCFD48B" w14:textId="77777777" w:rsidTr="00762DAE">
        <w:tc>
          <w:tcPr>
            <w:tcW w:w="1099" w:type="dxa"/>
          </w:tcPr>
          <w:p w14:paraId="372F83E6" w14:textId="653B61CA"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12</w:t>
            </w:r>
          </w:p>
        </w:tc>
        <w:tc>
          <w:tcPr>
            <w:tcW w:w="2157" w:type="dxa"/>
          </w:tcPr>
          <w:p w14:paraId="34E3E399" w14:textId="77777777" w:rsidR="007F2577" w:rsidRPr="00184E30" w:rsidRDefault="007F2577" w:rsidP="003D184C">
            <w:pPr>
              <w:spacing w:before="120" w:after="240" w:line="276" w:lineRule="auto"/>
              <w:rPr>
                <w:rFonts w:ascii="Arial" w:hAnsi="Arial"/>
                <w:i/>
                <w:sz w:val="22"/>
                <w:szCs w:val="22"/>
              </w:rPr>
            </w:pPr>
            <w:r w:rsidRPr="00184E30">
              <w:rPr>
                <w:rFonts w:ascii="Arial" w:hAnsi="Arial"/>
                <w:i/>
                <w:sz w:val="22"/>
                <w:szCs w:val="22"/>
              </w:rPr>
              <w:t xml:space="preserve">Dog Regulations 2013, </w:t>
            </w:r>
            <w:r w:rsidRPr="00184E30">
              <w:rPr>
                <w:rFonts w:ascii="Arial" w:hAnsi="Arial"/>
                <w:sz w:val="22"/>
                <w:szCs w:val="22"/>
              </w:rPr>
              <w:t>Regulation 35</w:t>
            </w:r>
          </w:p>
        </w:tc>
        <w:tc>
          <w:tcPr>
            <w:tcW w:w="11056" w:type="dxa"/>
          </w:tcPr>
          <w:p w14:paraId="259F44A4"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Restatement of existing regulation 35(6) in plain English to enhance clarity. An authorised person cannot withdraw an infringement they have issued.</w:t>
            </w:r>
          </w:p>
        </w:tc>
      </w:tr>
      <w:tr w:rsidR="007F2577" w:rsidRPr="004C0107" w14:paraId="45D73B05" w14:textId="77777777" w:rsidTr="00762DAE">
        <w:tc>
          <w:tcPr>
            <w:tcW w:w="1099" w:type="dxa"/>
          </w:tcPr>
          <w:p w14:paraId="33198C7F" w14:textId="143949FE"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13</w:t>
            </w:r>
          </w:p>
        </w:tc>
        <w:tc>
          <w:tcPr>
            <w:tcW w:w="2157" w:type="dxa"/>
          </w:tcPr>
          <w:p w14:paraId="762FC038" w14:textId="77777777" w:rsidR="007F2577" w:rsidRPr="00184E30" w:rsidRDefault="007F2577" w:rsidP="003D184C">
            <w:pPr>
              <w:spacing w:before="120" w:after="240" w:line="276" w:lineRule="auto"/>
              <w:rPr>
                <w:rFonts w:ascii="Arial" w:hAnsi="Arial"/>
                <w:sz w:val="22"/>
                <w:szCs w:val="22"/>
              </w:rPr>
            </w:pPr>
            <w:bookmarkStart w:id="0" w:name="_Hlk35348693"/>
            <w:r w:rsidRPr="00184E30">
              <w:rPr>
                <w:rFonts w:ascii="Arial" w:hAnsi="Arial"/>
                <w:sz w:val="22"/>
                <w:szCs w:val="22"/>
              </w:rPr>
              <w:t>Form 1</w:t>
            </w:r>
          </w:p>
        </w:tc>
        <w:tc>
          <w:tcPr>
            <w:tcW w:w="11056" w:type="dxa"/>
          </w:tcPr>
          <w:p w14:paraId="20EE2D9D" w14:textId="15159899"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Form 1 will no longer be used by local governments for the appointment of authorised persons</w:t>
            </w:r>
            <w:r w:rsidR="00924EEC">
              <w:rPr>
                <w:rFonts w:ascii="Arial" w:hAnsi="Arial" w:cs="Arial"/>
                <w:sz w:val="22"/>
                <w:szCs w:val="22"/>
              </w:rPr>
              <w:t xml:space="preserve">. This has </w:t>
            </w:r>
            <w:r w:rsidRPr="00184E30">
              <w:rPr>
                <w:rFonts w:ascii="Arial" w:hAnsi="Arial" w:cs="Arial"/>
                <w:sz w:val="22"/>
                <w:szCs w:val="22"/>
              </w:rPr>
              <w:t xml:space="preserve">been replaced by appointment under section 9.10(2) of the </w:t>
            </w:r>
            <w:r w:rsidRPr="00184E30">
              <w:rPr>
                <w:rFonts w:ascii="Arial" w:hAnsi="Arial" w:cs="Arial"/>
                <w:i/>
                <w:sz w:val="22"/>
                <w:szCs w:val="22"/>
              </w:rPr>
              <w:t>Local Government Act 1995</w:t>
            </w:r>
            <w:r w:rsidRPr="00184E30">
              <w:rPr>
                <w:rFonts w:ascii="Arial" w:hAnsi="Arial" w:cs="Arial"/>
                <w:sz w:val="22"/>
                <w:szCs w:val="22"/>
              </w:rPr>
              <w:t xml:space="preserve">, thus ensuring consistency across multiple pieces of legislation.  Form 1 in Schedule 1 has been replaced and will be used by the local government to appoint registration officers under the </w:t>
            </w:r>
            <w:r w:rsidRPr="00184E30">
              <w:rPr>
                <w:rFonts w:ascii="Arial" w:hAnsi="Arial" w:cs="Arial"/>
                <w:i/>
                <w:sz w:val="22"/>
                <w:szCs w:val="22"/>
              </w:rPr>
              <w:t>Dog Act 1976</w:t>
            </w:r>
            <w:r w:rsidRPr="00184E30">
              <w:rPr>
                <w:rFonts w:ascii="Arial" w:hAnsi="Arial" w:cs="Arial"/>
                <w:sz w:val="22"/>
                <w:szCs w:val="22"/>
              </w:rPr>
              <w:t xml:space="preserve">. </w:t>
            </w:r>
          </w:p>
        </w:tc>
      </w:tr>
      <w:bookmarkEnd w:id="0"/>
      <w:tr w:rsidR="007F2577" w:rsidRPr="004C0107" w14:paraId="5D804321" w14:textId="77777777" w:rsidTr="00762DAE">
        <w:tc>
          <w:tcPr>
            <w:tcW w:w="1099" w:type="dxa"/>
          </w:tcPr>
          <w:p w14:paraId="6D000462" w14:textId="74D83EEE"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15</w:t>
            </w:r>
          </w:p>
        </w:tc>
        <w:tc>
          <w:tcPr>
            <w:tcW w:w="2157" w:type="dxa"/>
          </w:tcPr>
          <w:p w14:paraId="34B50E13" w14:textId="77777777" w:rsidR="007F2577" w:rsidRPr="00184E30" w:rsidRDefault="007F2577" w:rsidP="003D184C">
            <w:pPr>
              <w:spacing w:before="120" w:after="240" w:line="276" w:lineRule="auto"/>
              <w:rPr>
                <w:rFonts w:ascii="Arial" w:hAnsi="Arial"/>
                <w:i/>
                <w:sz w:val="22"/>
                <w:szCs w:val="22"/>
              </w:rPr>
            </w:pPr>
            <w:r w:rsidRPr="00184E30">
              <w:rPr>
                <w:rFonts w:ascii="Arial" w:hAnsi="Arial"/>
                <w:i/>
                <w:sz w:val="22"/>
                <w:szCs w:val="22"/>
              </w:rPr>
              <w:t xml:space="preserve">Local Government (Administration) Regulations 1996, </w:t>
            </w:r>
            <w:r w:rsidRPr="00184E30">
              <w:rPr>
                <w:rFonts w:ascii="Arial" w:hAnsi="Arial"/>
                <w:i/>
                <w:sz w:val="22"/>
                <w:szCs w:val="22"/>
              </w:rPr>
              <w:br/>
            </w:r>
            <w:r w:rsidRPr="00184E30">
              <w:rPr>
                <w:rFonts w:ascii="Arial" w:hAnsi="Arial"/>
                <w:sz w:val="22"/>
                <w:szCs w:val="22"/>
              </w:rPr>
              <w:t>Regulations 3A and 3B</w:t>
            </w:r>
          </w:p>
        </w:tc>
        <w:tc>
          <w:tcPr>
            <w:tcW w:w="11056" w:type="dxa"/>
          </w:tcPr>
          <w:p w14:paraId="64973469" w14:textId="0A2E8AD1" w:rsidR="0086149B" w:rsidRPr="00184E30" w:rsidRDefault="0086149B" w:rsidP="0086149B">
            <w:pPr>
              <w:spacing w:before="120" w:after="120" w:line="276" w:lineRule="auto"/>
              <w:rPr>
                <w:rFonts w:ascii="Arial" w:hAnsi="Arial" w:cs="Arial"/>
                <w:sz w:val="22"/>
                <w:szCs w:val="22"/>
              </w:rPr>
            </w:pPr>
            <w:r w:rsidRPr="00184E30">
              <w:rPr>
                <w:rFonts w:ascii="Arial" w:hAnsi="Arial" w:cs="Arial"/>
                <w:sz w:val="22"/>
                <w:szCs w:val="22"/>
              </w:rPr>
              <w:t>The definitions of local public notice and state</w:t>
            </w:r>
            <w:r w:rsidR="007A682D" w:rsidRPr="00184E30">
              <w:rPr>
                <w:rFonts w:ascii="Arial" w:hAnsi="Arial" w:cs="Arial"/>
                <w:sz w:val="22"/>
                <w:szCs w:val="22"/>
              </w:rPr>
              <w:t>-</w:t>
            </w:r>
            <w:r w:rsidRPr="00184E30">
              <w:rPr>
                <w:rFonts w:ascii="Arial" w:hAnsi="Arial" w:cs="Arial"/>
                <w:sz w:val="22"/>
                <w:szCs w:val="22"/>
              </w:rPr>
              <w:t xml:space="preserve">wide public notice have been amended in the </w:t>
            </w:r>
            <w:r w:rsidRPr="00184E30">
              <w:rPr>
                <w:rFonts w:ascii="Arial" w:hAnsi="Arial" w:cs="Arial"/>
                <w:i/>
                <w:sz w:val="22"/>
                <w:szCs w:val="22"/>
              </w:rPr>
              <w:t>Local Government Act 1995</w:t>
            </w:r>
            <w:r w:rsidRPr="00184E30">
              <w:rPr>
                <w:rFonts w:ascii="Arial" w:hAnsi="Arial" w:cs="Arial"/>
                <w:sz w:val="22"/>
                <w:szCs w:val="22"/>
              </w:rPr>
              <w:t xml:space="preserve"> to recognise alternative and contemporary means of communication. These </w:t>
            </w:r>
            <w:r w:rsidR="007B79ED" w:rsidRPr="00184E30">
              <w:rPr>
                <w:rFonts w:ascii="Arial" w:hAnsi="Arial" w:cs="Arial"/>
                <w:sz w:val="22"/>
                <w:szCs w:val="22"/>
              </w:rPr>
              <w:t>are</w:t>
            </w:r>
            <w:r w:rsidR="00377063" w:rsidRPr="00184E30">
              <w:rPr>
                <w:rFonts w:ascii="Arial" w:hAnsi="Arial" w:cs="Arial"/>
                <w:sz w:val="22"/>
                <w:szCs w:val="22"/>
              </w:rPr>
              <w:t xml:space="preserve"> </w:t>
            </w:r>
            <w:r w:rsidRPr="00184E30">
              <w:rPr>
                <w:rFonts w:ascii="Arial" w:hAnsi="Arial" w:cs="Arial"/>
                <w:sz w:val="22"/>
                <w:szCs w:val="22"/>
              </w:rPr>
              <w:t>set out in new Part 1A of the Administration Regulations to provide flexibility to respond quickly to include future contemporary communication methods as and when necessary.</w:t>
            </w:r>
          </w:p>
          <w:p w14:paraId="17C27B43" w14:textId="335B1534" w:rsidR="0086149B" w:rsidRPr="00184E30" w:rsidRDefault="0086149B" w:rsidP="0086149B">
            <w:pPr>
              <w:spacing w:before="120" w:after="120" w:line="276" w:lineRule="auto"/>
              <w:rPr>
                <w:rFonts w:ascii="Arial" w:hAnsi="Arial" w:cs="Arial"/>
                <w:sz w:val="22"/>
                <w:szCs w:val="22"/>
              </w:rPr>
            </w:pPr>
            <w:r w:rsidRPr="00184E30">
              <w:rPr>
                <w:rFonts w:ascii="Arial" w:hAnsi="Arial" w:cs="Arial"/>
                <w:sz w:val="22"/>
                <w:szCs w:val="22"/>
              </w:rPr>
              <w:t xml:space="preserve">The </w:t>
            </w:r>
            <w:r w:rsidRPr="00184E30">
              <w:rPr>
                <w:rFonts w:ascii="Arial" w:hAnsi="Arial" w:cs="Arial"/>
                <w:i/>
                <w:sz w:val="22"/>
                <w:szCs w:val="22"/>
              </w:rPr>
              <w:t>Local Government Legislation Amendment Act 2019</w:t>
            </w:r>
            <w:r w:rsidRPr="00184E30">
              <w:rPr>
                <w:rFonts w:ascii="Arial" w:hAnsi="Arial" w:cs="Arial"/>
                <w:sz w:val="22"/>
                <w:szCs w:val="22"/>
              </w:rPr>
              <w:t xml:space="preserve"> amends section 1.7 of the Local Government Act so that local public notice will be given when notice is published on the official website of the local government and in at least three of the ways set out in </w:t>
            </w:r>
            <w:r w:rsidR="00333205" w:rsidRPr="00184E30">
              <w:rPr>
                <w:rFonts w:ascii="Arial" w:hAnsi="Arial" w:cs="Arial"/>
                <w:sz w:val="22"/>
                <w:szCs w:val="22"/>
              </w:rPr>
              <w:t xml:space="preserve">new </w:t>
            </w:r>
            <w:r w:rsidRPr="00184E30">
              <w:rPr>
                <w:rFonts w:ascii="Arial" w:hAnsi="Arial" w:cs="Arial"/>
                <w:sz w:val="22"/>
                <w:szCs w:val="22"/>
              </w:rPr>
              <w:t xml:space="preserve">regulation 3A.  </w:t>
            </w:r>
          </w:p>
          <w:p w14:paraId="3298E213" w14:textId="77777777" w:rsidR="00DB5091" w:rsidRPr="00DB5091" w:rsidRDefault="00DB5091" w:rsidP="00DB5091">
            <w:pPr>
              <w:spacing w:before="120" w:after="120" w:line="276" w:lineRule="auto"/>
              <w:rPr>
                <w:rFonts w:ascii="Arial" w:hAnsi="Arial" w:cs="Arial"/>
                <w:sz w:val="22"/>
                <w:szCs w:val="22"/>
              </w:rPr>
            </w:pPr>
            <w:r w:rsidRPr="00DB5091">
              <w:rPr>
                <w:rFonts w:ascii="Arial" w:hAnsi="Arial" w:cs="Arial"/>
                <w:sz w:val="22"/>
                <w:szCs w:val="22"/>
              </w:rPr>
              <w:t xml:space="preserve">The new forms of communicating a local public notice include publication in a newspaper or newsletters circulating generally in the district or a newspaper in the State, publication on the official website of a relevant </w:t>
            </w:r>
            <w:r w:rsidRPr="00DB5091">
              <w:rPr>
                <w:rFonts w:ascii="Arial" w:hAnsi="Arial" w:cs="Arial"/>
                <w:sz w:val="22"/>
                <w:szCs w:val="22"/>
              </w:rPr>
              <w:lastRenderedPageBreak/>
              <w:t xml:space="preserve">State Government department, circulation by email or text or posting on a local government’s social media account.  </w:t>
            </w:r>
          </w:p>
          <w:p w14:paraId="2E25CB65" w14:textId="77777777" w:rsidR="00DB5091" w:rsidRPr="00DB5091" w:rsidRDefault="00DB5091" w:rsidP="00DB5091">
            <w:pPr>
              <w:spacing w:before="120" w:after="120" w:line="276" w:lineRule="auto"/>
              <w:rPr>
                <w:rFonts w:ascii="Arial" w:hAnsi="Arial" w:cs="Arial"/>
                <w:sz w:val="22"/>
                <w:szCs w:val="22"/>
              </w:rPr>
            </w:pPr>
            <w:r w:rsidRPr="00DB5091">
              <w:rPr>
                <w:rFonts w:ascii="Arial" w:hAnsi="Arial" w:cs="Arial"/>
                <w:sz w:val="22"/>
                <w:szCs w:val="22"/>
              </w:rPr>
              <w:t xml:space="preserve">Publication on the website of a State Government department would allow, for example, a tender to be posted on </w:t>
            </w:r>
            <w:proofErr w:type="spellStart"/>
            <w:r w:rsidRPr="00DB5091">
              <w:rPr>
                <w:rFonts w:ascii="Arial" w:hAnsi="Arial" w:cs="Arial"/>
                <w:sz w:val="22"/>
                <w:szCs w:val="22"/>
              </w:rPr>
              <w:t>TendersWA</w:t>
            </w:r>
            <w:proofErr w:type="spellEnd"/>
            <w:r w:rsidRPr="00DB5091">
              <w:rPr>
                <w:rFonts w:ascii="Arial" w:hAnsi="Arial" w:cs="Arial"/>
                <w:sz w:val="22"/>
                <w:szCs w:val="22"/>
              </w:rPr>
              <w:t>, or an election notice on the WAEC website as one of the three ways. Note: While advertising on State Government webs</w:t>
            </w:r>
            <w:bookmarkStart w:id="1" w:name="_GoBack"/>
            <w:bookmarkEnd w:id="1"/>
            <w:r w:rsidRPr="00DB5091">
              <w:rPr>
                <w:rFonts w:ascii="Arial" w:hAnsi="Arial" w:cs="Arial"/>
                <w:sz w:val="22"/>
                <w:szCs w:val="22"/>
              </w:rPr>
              <w:t>ites may not be currently available, the regulations have been future proofed so that the option will be available later. Until then, the other forms of notice are to be used.</w:t>
            </w:r>
          </w:p>
          <w:p w14:paraId="4E83C93D" w14:textId="5204A30B" w:rsidR="00DB5091" w:rsidRPr="00DB5091" w:rsidRDefault="00DB5091" w:rsidP="00DB5091">
            <w:pPr>
              <w:spacing w:before="120" w:after="120" w:line="276" w:lineRule="auto"/>
              <w:rPr>
                <w:rFonts w:ascii="Arial" w:hAnsi="Arial" w:cs="Arial"/>
                <w:sz w:val="22"/>
                <w:szCs w:val="22"/>
              </w:rPr>
            </w:pPr>
            <w:r w:rsidRPr="00DB5091">
              <w:rPr>
                <w:rFonts w:ascii="Arial" w:hAnsi="Arial" w:cs="Arial"/>
                <w:sz w:val="22"/>
                <w:szCs w:val="22"/>
              </w:rPr>
              <w:t xml:space="preserve">If the option of advertising on a State Government website is available and local governments use it, current processes for arranging publication should be used. </w:t>
            </w:r>
          </w:p>
          <w:p w14:paraId="534667E0" w14:textId="30CBFD61" w:rsidR="0086149B" w:rsidRPr="00184E30" w:rsidRDefault="0086149B" w:rsidP="0086149B">
            <w:pPr>
              <w:spacing w:before="120" w:after="120" w:line="276" w:lineRule="auto"/>
              <w:rPr>
                <w:rFonts w:ascii="Arial" w:hAnsi="Arial" w:cs="Arial"/>
                <w:sz w:val="22"/>
                <w:szCs w:val="22"/>
              </w:rPr>
            </w:pPr>
            <w:r w:rsidRPr="00184E30">
              <w:rPr>
                <w:rFonts w:ascii="Arial" w:hAnsi="Arial" w:cs="Arial"/>
                <w:sz w:val="22"/>
                <w:szCs w:val="22"/>
              </w:rPr>
              <w:t>Notices that are posted need to remain available for at least the time specified in the Act or 7 days if no time is specified.</w:t>
            </w:r>
          </w:p>
          <w:p w14:paraId="56266F37" w14:textId="7859A4CC" w:rsidR="007F2577" w:rsidRPr="00184E30" w:rsidRDefault="0086149B" w:rsidP="00452AB4">
            <w:pPr>
              <w:spacing w:before="120" w:after="120" w:line="276" w:lineRule="auto"/>
              <w:rPr>
                <w:rFonts w:ascii="Arial" w:hAnsi="Arial" w:cs="Arial"/>
                <w:sz w:val="22"/>
                <w:szCs w:val="22"/>
              </w:rPr>
            </w:pPr>
            <w:r w:rsidRPr="00184E30">
              <w:rPr>
                <w:rFonts w:ascii="Arial" w:hAnsi="Arial" w:cs="Arial"/>
                <w:sz w:val="22"/>
                <w:szCs w:val="22"/>
              </w:rPr>
              <w:t xml:space="preserve">The new state-wide public notice provisions incorporate all of the methods that are available as a local public notice.  In addition to the requirement to publish the notice on the local government’s own website, regulation 3B states that the notice must be published either in a newspaper circulating generally throughout the State or on the official website of a State </w:t>
            </w:r>
            <w:r w:rsidR="00E933C0" w:rsidRPr="00184E30">
              <w:rPr>
                <w:rFonts w:ascii="Arial" w:hAnsi="Arial" w:cs="Arial"/>
                <w:sz w:val="22"/>
                <w:szCs w:val="22"/>
              </w:rPr>
              <w:t>G</w:t>
            </w:r>
            <w:r w:rsidRPr="00184E30">
              <w:rPr>
                <w:rFonts w:ascii="Arial" w:hAnsi="Arial" w:cs="Arial"/>
                <w:sz w:val="22"/>
                <w:szCs w:val="22"/>
              </w:rPr>
              <w:t xml:space="preserve">overnment agency.  </w:t>
            </w:r>
          </w:p>
        </w:tc>
      </w:tr>
      <w:tr w:rsidR="007F2577" w:rsidRPr="004C0107" w14:paraId="16CFEBC3" w14:textId="77777777" w:rsidTr="00762DAE">
        <w:tc>
          <w:tcPr>
            <w:tcW w:w="1099" w:type="dxa"/>
          </w:tcPr>
          <w:p w14:paraId="1C9C22FB" w14:textId="26F3305E"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Reg 16</w:t>
            </w:r>
          </w:p>
        </w:tc>
        <w:tc>
          <w:tcPr>
            <w:tcW w:w="2157" w:type="dxa"/>
          </w:tcPr>
          <w:p w14:paraId="2CF6BBE5" w14:textId="77777777" w:rsidR="007F2577" w:rsidRPr="00184E30" w:rsidRDefault="007F2577" w:rsidP="003D184C">
            <w:pPr>
              <w:spacing w:before="120" w:after="240" w:line="276" w:lineRule="auto"/>
              <w:rPr>
                <w:rFonts w:ascii="Arial" w:hAnsi="Arial"/>
                <w:b/>
                <w:sz w:val="22"/>
                <w:szCs w:val="22"/>
              </w:rPr>
            </w:pPr>
            <w:r w:rsidRPr="00184E30">
              <w:rPr>
                <w:rFonts w:ascii="Arial" w:hAnsi="Arial"/>
                <w:sz w:val="22"/>
                <w:szCs w:val="22"/>
              </w:rPr>
              <w:t>Regulation 10</w:t>
            </w:r>
          </w:p>
        </w:tc>
        <w:tc>
          <w:tcPr>
            <w:tcW w:w="11056" w:type="dxa"/>
          </w:tcPr>
          <w:p w14:paraId="10930953" w14:textId="61648D63" w:rsidR="007F2577" w:rsidRPr="00184E30" w:rsidRDefault="007F2577" w:rsidP="003D184C">
            <w:pPr>
              <w:spacing w:before="120" w:after="120" w:line="276" w:lineRule="auto"/>
              <w:rPr>
                <w:rFonts w:ascii="Arial" w:hAnsi="Arial" w:cs="Arial"/>
                <w:b/>
                <w:sz w:val="22"/>
                <w:szCs w:val="22"/>
              </w:rPr>
            </w:pPr>
            <w:r w:rsidRPr="00184E30">
              <w:rPr>
                <w:rFonts w:ascii="Arial" w:hAnsi="Arial" w:cs="Arial"/>
                <w:sz w:val="22"/>
                <w:szCs w:val="22"/>
              </w:rPr>
              <w:t xml:space="preserve">Regulation 10 deals with the process to revoke or change a decision made at a council or committee meeting, under section 5.25 of the Act.  The change to this regulation recognises </w:t>
            </w:r>
            <w:r w:rsidR="009616DF" w:rsidRPr="00184E30">
              <w:rPr>
                <w:rFonts w:ascii="Arial" w:hAnsi="Arial" w:cs="Arial"/>
                <w:sz w:val="22"/>
                <w:szCs w:val="22"/>
              </w:rPr>
              <w:t xml:space="preserve">that </w:t>
            </w:r>
            <w:r w:rsidRPr="00184E30">
              <w:rPr>
                <w:rFonts w:ascii="Arial" w:hAnsi="Arial" w:cs="Arial"/>
                <w:sz w:val="22"/>
                <w:szCs w:val="22"/>
              </w:rPr>
              <w:t>the requirement for a special majority decision has been removed from the Act.</w:t>
            </w:r>
          </w:p>
        </w:tc>
      </w:tr>
      <w:tr w:rsidR="007F2577" w:rsidRPr="004C0107" w14:paraId="4CC9120E" w14:textId="77777777" w:rsidTr="00762DAE">
        <w:tc>
          <w:tcPr>
            <w:tcW w:w="1099" w:type="dxa"/>
          </w:tcPr>
          <w:p w14:paraId="419459ED" w14:textId="5D49A3A6"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17</w:t>
            </w:r>
            <w:r w:rsidR="0086149B" w:rsidRPr="00184E30">
              <w:rPr>
                <w:rFonts w:ascii="Arial" w:hAnsi="Arial"/>
                <w:sz w:val="22"/>
                <w:szCs w:val="22"/>
              </w:rPr>
              <w:t xml:space="preserve"> and 18</w:t>
            </w:r>
          </w:p>
        </w:tc>
        <w:tc>
          <w:tcPr>
            <w:tcW w:w="2157" w:type="dxa"/>
          </w:tcPr>
          <w:p w14:paraId="734ABAE0" w14:textId="78E9A7A8"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11</w:t>
            </w:r>
            <w:r w:rsidR="0086149B" w:rsidRPr="00184E30">
              <w:rPr>
                <w:rFonts w:ascii="Arial" w:hAnsi="Arial"/>
                <w:sz w:val="22"/>
                <w:szCs w:val="22"/>
              </w:rPr>
              <w:t>, 12, 13</w:t>
            </w:r>
          </w:p>
        </w:tc>
        <w:tc>
          <w:tcPr>
            <w:tcW w:w="11056" w:type="dxa"/>
          </w:tcPr>
          <w:p w14:paraId="18724BE3" w14:textId="29F33F0D"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To further the policy aims of transparency and accountability, an amendment to regulation 11 has been made to require a local government to include in the minutes</w:t>
            </w:r>
            <w:r w:rsidR="00CB117D" w:rsidRPr="00184E30">
              <w:rPr>
                <w:rFonts w:ascii="Arial" w:hAnsi="Arial" w:cs="Arial"/>
                <w:sz w:val="22"/>
                <w:szCs w:val="22"/>
              </w:rPr>
              <w:t>,</w:t>
            </w:r>
            <w:r w:rsidRPr="00184E30">
              <w:rPr>
                <w:rFonts w:ascii="Arial" w:hAnsi="Arial" w:cs="Arial"/>
                <w:sz w:val="22"/>
                <w:szCs w:val="22"/>
              </w:rPr>
              <w:t xml:space="preserve"> all documents which are attached to a council or committee meeting agenda, except where that part of the meeting was closed to the public. </w:t>
            </w:r>
          </w:p>
          <w:p w14:paraId="269DAC41" w14:textId="211CB8DF" w:rsidR="00C24944" w:rsidRPr="00184E30" w:rsidRDefault="00C24944" w:rsidP="00C24944">
            <w:pPr>
              <w:spacing w:before="120" w:after="120" w:line="276" w:lineRule="auto"/>
              <w:rPr>
                <w:rFonts w:ascii="Arial" w:hAnsi="Arial" w:cs="Arial"/>
                <w:sz w:val="22"/>
                <w:szCs w:val="22"/>
              </w:rPr>
            </w:pPr>
            <w:r w:rsidRPr="00184E30">
              <w:rPr>
                <w:rFonts w:ascii="Arial" w:hAnsi="Arial" w:cs="Arial"/>
                <w:sz w:val="22"/>
                <w:szCs w:val="22"/>
              </w:rPr>
              <w:t>The purpose of this amendments is to ensure the public do not have to refer to separate records to gain an understanding of the matter considered by Council, or the reason for the recording of a Council decision.  Having the meeting agenda, including all attachments such as officers</w:t>
            </w:r>
            <w:r w:rsidR="00D86E9C" w:rsidRPr="00184E30">
              <w:rPr>
                <w:rFonts w:ascii="Arial" w:hAnsi="Arial" w:cs="Arial"/>
                <w:sz w:val="22"/>
                <w:szCs w:val="22"/>
              </w:rPr>
              <w:t>’</w:t>
            </w:r>
            <w:r w:rsidRPr="00184E30">
              <w:rPr>
                <w:rFonts w:ascii="Arial" w:hAnsi="Arial" w:cs="Arial"/>
                <w:sz w:val="22"/>
                <w:szCs w:val="22"/>
              </w:rPr>
              <w:t xml:space="preserve"> reports and recommendations, </w:t>
            </w:r>
            <w:r w:rsidR="00D86E9C" w:rsidRPr="00184E30">
              <w:rPr>
                <w:rFonts w:ascii="Arial" w:hAnsi="Arial" w:cs="Arial"/>
                <w:sz w:val="22"/>
                <w:szCs w:val="22"/>
              </w:rPr>
              <w:t>included in</w:t>
            </w:r>
            <w:r w:rsidRPr="00184E30">
              <w:rPr>
                <w:rFonts w:ascii="Arial" w:hAnsi="Arial" w:cs="Arial"/>
                <w:sz w:val="22"/>
                <w:szCs w:val="22"/>
              </w:rPr>
              <w:t xml:space="preserve"> the minutes enables readers to get the whole picture.</w:t>
            </w:r>
          </w:p>
          <w:p w14:paraId="09E6134E" w14:textId="387DA1B3" w:rsidR="00C24944" w:rsidRPr="00184E30" w:rsidRDefault="00C24944" w:rsidP="00C24944">
            <w:pPr>
              <w:spacing w:before="120" w:after="120" w:line="276" w:lineRule="auto"/>
              <w:rPr>
                <w:rFonts w:ascii="Arial" w:hAnsi="Arial" w:cs="Arial"/>
                <w:sz w:val="22"/>
                <w:szCs w:val="22"/>
              </w:rPr>
            </w:pPr>
            <w:r w:rsidRPr="00184E30">
              <w:rPr>
                <w:rFonts w:ascii="Arial" w:hAnsi="Arial" w:cs="Arial"/>
                <w:sz w:val="22"/>
                <w:szCs w:val="22"/>
              </w:rPr>
              <w:t>The current provisions in Regulation 14(2) of the Administration Regulations that relate to parts of a meeting that may be closed to members of the public have not been changed.</w:t>
            </w:r>
          </w:p>
          <w:p w14:paraId="73C6A465" w14:textId="4AEE454E" w:rsidR="00C24944" w:rsidRPr="00184E30" w:rsidRDefault="00C24944" w:rsidP="00C24944">
            <w:pPr>
              <w:spacing w:before="120" w:after="120" w:line="276" w:lineRule="auto"/>
              <w:rPr>
                <w:rFonts w:ascii="Arial" w:hAnsi="Arial" w:cs="Arial"/>
                <w:sz w:val="22"/>
                <w:szCs w:val="22"/>
              </w:rPr>
            </w:pPr>
            <w:r w:rsidRPr="00184E30">
              <w:rPr>
                <w:rFonts w:ascii="Arial" w:hAnsi="Arial" w:cs="Arial"/>
                <w:sz w:val="22"/>
                <w:szCs w:val="22"/>
              </w:rPr>
              <w:lastRenderedPageBreak/>
              <w:t xml:space="preserve">From a record keeping perspective, </w:t>
            </w:r>
            <w:r w:rsidR="00D87DE6" w:rsidRPr="00184E30">
              <w:rPr>
                <w:rFonts w:ascii="Arial" w:hAnsi="Arial" w:cs="Arial"/>
                <w:sz w:val="22"/>
                <w:szCs w:val="22"/>
              </w:rPr>
              <w:t xml:space="preserve">this change </w:t>
            </w:r>
            <w:r w:rsidR="007E5C63" w:rsidRPr="00184E30">
              <w:rPr>
                <w:rFonts w:ascii="Arial" w:hAnsi="Arial" w:cs="Arial"/>
                <w:sz w:val="22"/>
                <w:szCs w:val="22"/>
              </w:rPr>
              <w:t xml:space="preserve">does not alter the requirement for </w:t>
            </w:r>
            <w:r w:rsidR="00AF7542" w:rsidRPr="00184E30">
              <w:rPr>
                <w:rFonts w:ascii="Arial" w:hAnsi="Arial" w:cs="Arial"/>
                <w:sz w:val="22"/>
                <w:szCs w:val="22"/>
              </w:rPr>
              <w:t xml:space="preserve">local governments </w:t>
            </w:r>
            <w:r w:rsidR="00537B42" w:rsidRPr="00184E30">
              <w:rPr>
                <w:rFonts w:ascii="Arial" w:hAnsi="Arial" w:cs="Arial"/>
                <w:sz w:val="22"/>
                <w:szCs w:val="22"/>
              </w:rPr>
              <w:t xml:space="preserve">to keep and preserve </w:t>
            </w:r>
            <w:r w:rsidR="00AC1214" w:rsidRPr="00184E30">
              <w:rPr>
                <w:rFonts w:ascii="Arial" w:hAnsi="Arial" w:cs="Arial"/>
                <w:sz w:val="22"/>
                <w:szCs w:val="22"/>
              </w:rPr>
              <w:t>minutes and a</w:t>
            </w:r>
            <w:r w:rsidR="00010C64" w:rsidRPr="00184E30">
              <w:rPr>
                <w:rFonts w:ascii="Arial" w:hAnsi="Arial" w:cs="Arial"/>
                <w:sz w:val="22"/>
                <w:szCs w:val="22"/>
              </w:rPr>
              <w:t>ll</w:t>
            </w:r>
            <w:r w:rsidR="00AC1214" w:rsidRPr="00184E30">
              <w:rPr>
                <w:rFonts w:ascii="Arial" w:hAnsi="Arial" w:cs="Arial"/>
                <w:sz w:val="22"/>
                <w:szCs w:val="22"/>
              </w:rPr>
              <w:t xml:space="preserve"> documents relating to meetings</w:t>
            </w:r>
            <w:r w:rsidR="00B170D9" w:rsidRPr="00184E30">
              <w:rPr>
                <w:rFonts w:ascii="Arial" w:hAnsi="Arial" w:cs="Arial"/>
                <w:sz w:val="22"/>
                <w:szCs w:val="22"/>
              </w:rPr>
              <w:t>. W</w:t>
            </w:r>
            <w:r w:rsidRPr="00184E30">
              <w:rPr>
                <w:rFonts w:ascii="Arial" w:hAnsi="Arial" w:cs="Arial"/>
                <w:sz w:val="22"/>
                <w:szCs w:val="22"/>
              </w:rPr>
              <w:t>here confidential material (including confidential minutes) is produced, local governments should continue to keep this material as a (confidential) record of decisions and discussions.</w:t>
            </w:r>
          </w:p>
          <w:p w14:paraId="1A72A358" w14:textId="46B12944" w:rsidR="00C24944" w:rsidRPr="00220ADF" w:rsidRDefault="00C24944" w:rsidP="00C24944">
            <w:pPr>
              <w:spacing w:before="120" w:after="120" w:line="276" w:lineRule="auto"/>
              <w:rPr>
                <w:rFonts w:ascii="Arial" w:hAnsi="Arial" w:cs="Arial"/>
                <w:b/>
                <w:sz w:val="22"/>
                <w:szCs w:val="22"/>
              </w:rPr>
            </w:pPr>
            <w:r w:rsidRPr="00184E30">
              <w:rPr>
                <w:rFonts w:ascii="Arial" w:hAnsi="Arial" w:cs="Arial"/>
                <w:sz w:val="22"/>
                <w:szCs w:val="22"/>
              </w:rPr>
              <w:t xml:space="preserve">The </w:t>
            </w:r>
            <w:hyperlink r:id="rId12" w:history="1">
              <w:r w:rsidRPr="00D627EC">
                <w:rPr>
                  <w:rStyle w:val="Hyperlink"/>
                  <w:rFonts w:ascii="Arial" w:eastAsiaTheme="minorHAnsi" w:hAnsi="Arial" w:cs="Arial"/>
                  <w:i/>
                  <w:iCs/>
                  <w:sz w:val="22"/>
                  <w:szCs w:val="22"/>
                  <w:lang w:eastAsia="en-US"/>
                </w:rPr>
                <w:t>State Records Act 2000</w:t>
              </w:r>
            </w:hyperlink>
            <w:r w:rsidRPr="00184E30">
              <w:rPr>
                <w:rFonts w:ascii="Arial" w:hAnsi="Arial" w:cs="Arial"/>
                <w:sz w:val="22"/>
                <w:szCs w:val="22"/>
              </w:rPr>
              <w:t xml:space="preserve"> applies to local governments with regards to the keeping of records</w:t>
            </w:r>
            <w:r w:rsidR="00CD784C" w:rsidRPr="00184E30">
              <w:rPr>
                <w:rFonts w:ascii="Arial" w:hAnsi="Arial" w:cs="Arial"/>
                <w:sz w:val="22"/>
                <w:szCs w:val="22"/>
              </w:rPr>
              <w:t xml:space="preserve"> and can be </w:t>
            </w:r>
            <w:r w:rsidR="00CD784C" w:rsidRPr="00053C54">
              <w:rPr>
                <w:rFonts w:ascii="Arial" w:hAnsi="Arial" w:cs="Arial"/>
                <w:sz w:val="22"/>
                <w:szCs w:val="22"/>
              </w:rPr>
              <w:t xml:space="preserve">found at </w:t>
            </w:r>
            <w:hyperlink r:id="rId13" w:history="1">
              <w:r w:rsidR="00D65B60" w:rsidRPr="00053C54">
                <w:rPr>
                  <w:rStyle w:val="Hyperlink"/>
                  <w:rFonts w:ascii="Arial" w:hAnsi="Arial" w:cs="Arial"/>
                  <w:sz w:val="22"/>
                  <w:szCs w:val="22"/>
                </w:rPr>
                <w:t>www.legislation.wa.gov.au</w:t>
              </w:r>
            </w:hyperlink>
            <w:r w:rsidR="00D65B60" w:rsidRPr="00053C54">
              <w:rPr>
                <w:rFonts w:ascii="Arial" w:eastAsiaTheme="minorHAnsi" w:hAnsi="Arial" w:cs="Arial"/>
                <w:sz w:val="22"/>
                <w:szCs w:val="22"/>
                <w:lang w:eastAsia="en-US"/>
              </w:rPr>
              <w:t>.</w:t>
            </w:r>
            <w:r w:rsidR="00D65B60" w:rsidRPr="00220ADF">
              <w:rPr>
                <w:rFonts w:ascii="Arial" w:eastAsiaTheme="minorHAnsi" w:hAnsi="Arial" w:cs="Arial"/>
                <w:sz w:val="22"/>
                <w:szCs w:val="22"/>
                <w:lang w:eastAsia="en-US"/>
              </w:rPr>
              <w:t xml:space="preserve"> </w:t>
            </w:r>
            <w:r w:rsidR="00CD784C" w:rsidRPr="00220ADF">
              <w:rPr>
                <w:rFonts w:asciiTheme="minorHAnsi" w:eastAsiaTheme="minorHAnsi" w:hAnsiTheme="minorHAnsi" w:cstheme="minorBidi"/>
                <w:sz w:val="22"/>
                <w:szCs w:val="22"/>
                <w:lang w:eastAsia="en-US"/>
              </w:rPr>
              <w:t xml:space="preserve"> </w:t>
            </w:r>
          </w:p>
          <w:p w14:paraId="085B2FAA" w14:textId="0DB74C2A" w:rsidR="0086149B" w:rsidRPr="00184E30" w:rsidRDefault="0086149B" w:rsidP="0086149B">
            <w:pPr>
              <w:spacing w:before="120" w:after="120" w:line="276" w:lineRule="auto"/>
              <w:rPr>
                <w:rFonts w:ascii="Arial" w:hAnsi="Arial" w:cs="Arial"/>
                <w:sz w:val="22"/>
                <w:szCs w:val="22"/>
              </w:rPr>
            </w:pPr>
            <w:r w:rsidRPr="00184E30">
              <w:rPr>
                <w:rFonts w:ascii="Arial" w:hAnsi="Arial" w:cs="Arial"/>
                <w:sz w:val="22"/>
                <w:szCs w:val="22"/>
              </w:rPr>
              <w:t xml:space="preserve">Regulation 12 currently provides the requirements for giving local public notice of meetings.  The new regulation 12 provides for the same information to be published by the CEO of a local government on a local government’s official website instead. </w:t>
            </w:r>
          </w:p>
          <w:p w14:paraId="724C4074" w14:textId="77777777" w:rsidR="003D021C" w:rsidRPr="00184E30" w:rsidRDefault="0086149B" w:rsidP="00FA5546">
            <w:pPr>
              <w:spacing w:before="120" w:after="120" w:line="276" w:lineRule="auto"/>
              <w:rPr>
                <w:rFonts w:ascii="Arial" w:hAnsi="Arial" w:cs="Arial"/>
                <w:sz w:val="22"/>
                <w:szCs w:val="22"/>
              </w:rPr>
            </w:pPr>
            <w:r w:rsidRPr="00184E30">
              <w:rPr>
                <w:rFonts w:ascii="Arial" w:hAnsi="Arial" w:cs="Arial"/>
                <w:sz w:val="22"/>
                <w:szCs w:val="22"/>
              </w:rPr>
              <w:t>Regulation 13 is being replaced to improve accessibility to information held by local government. The unconfirmed minutes of each council or committee meeting open to members of the public are to be published on the local government’s official website. This is in addition to the current requirement of the unconfirmed minutes being available for public inspection.</w:t>
            </w:r>
          </w:p>
          <w:p w14:paraId="14F02527" w14:textId="58D5B08E" w:rsidR="005B2A13" w:rsidRPr="00184E30" w:rsidRDefault="005B2A13" w:rsidP="00B534F7">
            <w:pPr>
              <w:spacing w:before="120" w:after="120" w:line="276" w:lineRule="auto"/>
              <w:rPr>
                <w:rFonts w:ascii="Arial" w:hAnsi="Arial" w:cs="Arial"/>
                <w:sz w:val="22"/>
                <w:szCs w:val="22"/>
              </w:rPr>
            </w:pPr>
            <w:r w:rsidRPr="00184E30">
              <w:rPr>
                <w:rFonts w:ascii="Arial" w:hAnsi="Arial" w:cs="Arial"/>
                <w:sz w:val="22"/>
                <w:szCs w:val="22"/>
              </w:rPr>
              <w:t xml:space="preserve">With regards to the </w:t>
            </w:r>
            <w:r w:rsidRPr="00184E30">
              <w:rPr>
                <w:rFonts w:ascii="Arial" w:hAnsi="Arial" w:cs="Arial"/>
                <w:i/>
                <w:sz w:val="22"/>
                <w:szCs w:val="22"/>
              </w:rPr>
              <w:t xml:space="preserve">Local Government (Financial Management) Regulations 1996 </w:t>
            </w:r>
            <w:r w:rsidRPr="00184E30">
              <w:rPr>
                <w:rFonts w:ascii="Arial" w:hAnsi="Arial" w:cs="Arial"/>
                <w:sz w:val="22"/>
                <w:szCs w:val="22"/>
              </w:rPr>
              <w:t>– Regulation 13, local governments should ensure that only the information that is prescribed is recorded in the Minutes</w:t>
            </w:r>
            <w:r w:rsidR="00B534F7" w:rsidRPr="00184E30">
              <w:rPr>
                <w:rFonts w:ascii="Arial" w:hAnsi="Arial" w:cs="Arial"/>
                <w:sz w:val="22"/>
                <w:szCs w:val="22"/>
              </w:rPr>
              <w:t>.</w:t>
            </w:r>
          </w:p>
        </w:tc>
      </w:tr>
      <w:tr w:rsidR="007F2577" w:rsidRPr="004C0107" w14:paraId="6CD1A988" w14:textId="77777777" w:rsidTr="00762DAE">
        <w:tc>
          <w:tcPr>
            <w:tcW w:w="1099" w:type="dxa"/>
          </w:tcPr>
          <w:p w14:paraId="2685CE3E" w14:textId="0C252801"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Reg 19</w:t>
            </w:r>
          </w:p>
        </w:tc>
        <w:tc>
          <w:tcPr>
            <w:tcW w:w="2157" w:type="dxa"/>
          </w:tcPr>
          <w:p w14:paraId="7645D6C5"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14</w:t>
            </w:r>
          </w:p>
        </w:tc>
        <w:tc>
          <w:tcPr>
            <w:tcW w:w="11056" w:type="dxa"/>
          </w:tcPr>
          <w:p w14:paraId="704D30E2" w14:textId="5D6557D6" w:rsidR="007F2577" w:rsidRPr="00184E30" w:rsidRDefault="007F2577" w:rsidP="003D184C">
            <w:pPr>
              <w:spacing w:before="120" w:after="120" w:line="276" w:lineRule="auto"/>
              <w:rPr>
                <w:rFonts w:ascii="Arial" w:hAnsi="Arial" w:cs="Arial"/>
                <w:color w:val="2D2E2F"/>
                <w:sz w:val="22"/>
                <w:szCs w:val="22"/>
              </w:rPr>
            </w:pPr>
            <w:r w:rsidRPr="00184E30">
              <w:rPr>
                <w:rFonts w:ascii="Arial" w:hAnsi="Arial" w:cs="Arial"/>
                <w:sz w:val="22"/>
                <w:szCs w:val="22"/>
              </w:rPr>
              <w:t xml:space="preserve">Regulation 14 is amended to improve accessibility to information held by local governments. The amendment provides that all notice papers, agendas, reports and other documentation produced for a local government or committee meeting must be published on the local government’s official website at the time they are made available to council or committee members. This obligation will not apply, if, in the CEO’s opinion, that part of the meeting to which the information refers is likely to be closed to the public. </w:t>
            </w:r>
          </w:p>
        </w:tc>
      </w:tr>
      <w:tr w:rsidR="007F2577" w:rsidRPr="004C0107" w14:paraId="2BC2F8D5" w14:textId="77777777" w:rsidTr="00762DAE">
        <w:tc>
          <w:tcPr>
            <w:tcW w:w="1099" w:type="dxa"/>
          </w:tcPr>
          <w:p w14:paraId="4261A9D6" w14:textId="087C6238"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20</w:t>
            </w:r>
          </w:p>
        </w:tc>
        <w:tc>
          <w:tcPr>
            <w:tcW w:w="2157" w:type="dxa"/>
          </w:tcPr>
          <w:p w14:paraId="37BD5215"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Regulations 19B and 19CA</w:t>
            </w:r>
          </w:p>
        </w:tc>
        <w:tc>
          <w:tcPr>
            <w:tcW w:w="11056" w:type="dxa"/>
          </w:tcPr>
          <w:p w14:paraId="2FA62B65" w14:textId="7803635C" w:rsidR="000A007F" w:rsidRPr="00184E30" w:rsidRDefault="000A007F" w:rsidP="000A007F">
            <w:pPr>
              <w:spacing w:before="120" w:after="40" w:line="276" w:lineRule="auto"/>
              <w:rPr>
                <w:rFonts w:ascii="Arial" w:hAnsi="Arial" w:cs="Arial"/>
                <w:sz w:val="22"/>
                <w:szCs w:val="22"/>
              </w:rPr>
            </w:pPr>
            <w:r w:rsidRPr="00184E30">
              <w:rPr>
                <w:rFonts w:ascii="Arial" w:hAnsi="Arial" w:cs="Arial"/>
                <w:sz w:val="22"/>
                <w:szCs w:val="22"/>
              </w:rPr>
              <w:t>Existing regulation 19B</w:t>
            </w:r>
            <w:r w:rsidR="00377063" w:rsidRPr="00184E30">
              <w:rPr>
                <w:rFonts w:ascii="Arial" w:hAnsi="Arial" w:cs="Arial"/>
                <w:sz w:val="22"/>
                <w:szCs w:val="22"/>
              </w:rPr>
              <w:t xml:space="preserve"> has been </w:t>
            </w:r>
            <w:r w:rsidRPr="00184E30">
              <w:rPr>
                <w:rFonts w:ascii="Arial" w:hAnsi="Arial" w:cs="Arial"/>
                <w:sz w:val="22"/>
                <w:szCs w:val="22"/>
              </w:rPr>
              <w:t>replaced to provide for additional information to be included in the annual report.  In addition to the</w:t>
            </w:r>
            <w:r w:rsidR="00CB117D" w:rsidRPr="00184E30">
              <w:rPr>
                <w:rFonts w:ascii="Arial" w:hAnsi="Arial" w:cs="Arial"/>
                <w:sz w:val="22"/>
                <w:szCs w:val="22"/>
              </w:rPr>
              <w:t xml:space="preserve"> </w:t>
            </w:r>
            <w:r w:rsidRPr="00184E30">
              <w:rPr>
                <w:rFonts w:ascii="Arial" w:hAnsi="Arial" w:cs="Arial"/>
                <w:sz w:val="22"/>
                <w:szCs w:val="22"/>
              </w:rPr>
              <w:t xml:space="preserve">requirement to report on the number of employees receiving salary over </w:t>
            </w:r>
            <w:r w:rsidR="00CB117D" w:rsidRPr="00184E30">
              <w:rPr>
                <w:rFonts w:ascii="Arial" w:hAnsi="Arial" w:cs="Arial"/>
                <w:sz w:val="22"/>
                <w:szCs w:val="22"/>
              </w:rPr>
              <w:t xml:space="preserve">an increased threshold of </w:t>
            </w:r>
            <w:r w:rsidRPr="00184E30">
              <w:rPr>
                <w:rFonts w:ascii="Arial" w:hAnsi="Arial" w:cs="Arial"/>
                <w:sz w:val="22"/>
                <w:szCs w:val="22"/>
              </w:rPr>
              <w:t xml:space="preserve">$130,000 in $10,000 bands, the annual report is now to include: </w:t>
            </w:r>
          </w:p>
          <w:p w14:paraId="14DB8DAC" w14:textId="77777777" w:rsidR="000A007F" w:rsidRPr="00184E30" w:rsidRDefault="000A007F" w:rsidP="000A007F">
            <w:pPr>
              <w:numPr>
                <w:ilvl w:val="0"/>
                <w:numId w:val="3"/>
              </w:numPr>
              <w:spacing w:before="40" w:after="40"/>
              <w:ind w:left="714" w:hanging="357"/>
              <w:rPr>
                <w:rFonts w:ascii="Arial" w:hAnsi="Arial" w:cs="Arial"/>
                <w:sz w:val="22"/>
                <w:szCs w:val="22"/>
              </w:rPr>
            </w:pPr>
            <w:r w:rsidRPr="00184E30">
              <w:rPr>
                <w:rFonts w:ascii="Arial" w:eastAsia="Calibri" w:hAnsi="Arial" w:cs="Arial"/>
                <w:sz w:val="22"/>
                <w:szCs w:val="22"/>
              </w:rPr>
              <w:t xml:space="preserve">the </w:t>
            </w:r>
            <w:r w:rsidRPr="00184E30">
              <w:rPr>
                <w:rFonts w:ascii="Arial" w:hAnsi="Arial" w:cs="Arial"/>
                <w:sz w:val="22"/>
                <w:szCs w:val="22"/>
              </w:rPr>
              <w:t>amount of money the local government has paid in Standards Panel costs for hearing a complaint regarding one of its council members and any amount that the Standards Panel orders to be reimbursed to the local government by the council member;</w:t>
            </w:r>
          </w:p>
          <w:p w14:paraId="45D6BA01" w14:textId="65B388E6" w:rsidR="000A007F" w:rsidRPr="00184E30" w:rsidRDefault="000A007F" w:rsidP="000A007F">
            <w:pPr>
              <w:numPr>
                <w:ilvl w:val="0"/>
                <w:numId w:val="3"/>
              </w:numPr>
              <w:spacing w:before="40" w:after="40"/>
              <w:ind w:left="714" w:hanging="357"/>
              <w:rPr>
                <w:rFonts w:ascii="Arial" w:hAnsi="Arial" w:cs="Arial"/>
                <w:sz w:val="22"/>
                <w:szCs w:val="22"/>
              </w:rPr>
            </w:pPr>
            <w:r w:rsidRPr="00184E30">
              <w:rPr>
                <w:rFonts w:ascii="Arial" w:hAnsi="Arial" w:cs="Arial"/>
                <w:sz w:val="22"/>
                <w:szCs w:val="22"/>
              </w:rPr>
              <w:t>the remuneration</w:t>
            </w:r>
            <w:r w:rsidR="00460C7A" w:rsidRPr="00184E30">
              <w:rPr>
                <w:rFonts w:ascii="Arial" w:hAnsi="Arial" w:cs="Arial"/>
                <w:sz w:val="22"/>
                <w:szCs w:val="22"/>
              </w:rPr>
              <w:t>*</w:t>
            </w:r>
            <w:r w:rsidRPr="00184E30">
              <w:rPr>
                <w:rFonts w:ascii="Arial" w:hAnsi="Arial" w:cs="Arial"/>
                <w:sz w:val="22"/>
                <w:szCs w:val="22"/>
              </w:rPr>
              <w:t xml:space="preserve"> paid or provided to the CEO;</w:t>
            </w:r>
          </w:p>
          <w:p w14:paraId="59AA8CE2" w14:textId="77777777" w:rsidR="000A007F" w:rsidRPr="00184E30" w:rsidRDefault="000A007F" w:rsidP="000A007F">
            <w:pPr>
              <w:numPr>
                <w:ilvl w:val="0"/>
                <w:numId w:val="3"/>
              </w:numPr>
              <w:spacing w:before="40" w:after="40"/>
              <w:ind w:left="714" w:hanging="357"/>
              <w:rPr>
                <w:rFonts w:ascii="Arial" w:hAnsi="Arial" w:cs="Arial"/>
                <w:sz w:val="22"/>
                <w:szCs w:val="22"/>
              </w:rPr>
            </w:pPr>
            <w:r w:rsidRPr="00184E30">
              <w:rPr>
                <w:rFonts w:ascii="Arial" w:hAnsi="Arial" w:cs="Arial"/>
                <w:sz w:val="22"/>
                <w:szCs w:val="22"/>
              </w:rPr>
              <w:lastRenderedPageBreak/>
              <w:t>the number of council and committee meetings attended by each council member; and</w:t>
            </w:r>
          </w:p>
          <w:p w14:paraId="7EEB8FBE" w14:textId="042E5401" w:rsidR="000A007F" w:rsidRPr="00184E30" w:rsidRDefault="000A007F" w:rsidP="000A007F">
            <w:pPr>
              <w:numPr>
                <w:ilvl w:val="0"/>
                <w:numId w:val="3"/>
              </w:numPr>
              <w:spacing w:before="40" w:after="120"/>
              <w:ind w:left="714" w:hanging="357"/>
              <w:rPr>
                <w:rFonts w:ascii="Arial" w:eastAsia="Calibri" w:hAnsi="Arial" w:cs="Arial"/>
                <w:sz w:val="22"/>
                <w:szCs w:val="22"/>
              </w:rPr>
            </w:pPr>
            <w:r w:rsidRPr="00184E30">
              <w:rPr>
                <w:rFonts w:ascii="Arial" w:hAnsi="Arial" w:cs="Arial"/>
                <w:sz w:val="22"/>
                <w:szCs w:val="22"/>
              </w:rPr>
              <w:t>diversity data</w:t>
            </w:r>
            <w:r w:rsidRPr="00184E30">
              <w:rPr>
                <w:rFonts w:ascii="Arial" w:eastAsia="Calibri" w:hAnsi="Arial" w:cs="Arial"/>
                <w:sz w:val="22"/>
                <w:szCs w:val="22"/>
              </w:rPr>
              <w:t>, including age ranges for council members</w:t>
            </w:r>
            <w:r w:rsidR="003C6B2B" w:rsidRPr="00184E30">
              <w:rPr>
                <w:rFonts w:ascii="Arial" w:eastAsia="Calibri" w:hAnsi="Arial" w:cs="Arial"/>
                <w:sz w:val="22"/>
                <w:szCs w:val="22"/>
              </w:rPr>
              <w:t xml:space="preserve"> (where this information is available)</w:t>
            </w:r>
            <w:r w:rsidRPr="00184E30">
              <w:rPr>
                <w:rFonts w:ascii="Arial" w:eastAsia="Calibri" w:hAnsi="Arial" w:cs="Arial"/>
                <w:sz w:val="22"/>
                <w:szCs w:val="22"/>
              </w:rPr>
              <w:t>.</w:t>
            </w:r>
          </w:p>
          <w:p w14:paraId="0B01DFFB" w14:textId="77777777" w:rsidR="00CB117D" w:rsidRPr="00184E30" w:rsidRDefault="00CB117D" w:rsidP="000A007F">
            <w:pPr>
              <w:numPr>
                <w:ilvl w:val="0"/>
                <w:numId w:val="11"/>
              </w:numPr>
              <w:autoSpaceDE w:val="0"/>
              <w:autoSpaceDN w:val="0"/>
              <w:adjustRightInd w:val="0"/>
              <w:ind w:left="0"/>
              <w:rPr>
                <w:rFonts w:ascii="Arial" w:hAnsi="Arial" w:cs="Arial"/>
                <w:sz w:val="22"/>
                <w:szCs w:val="22"/>
              </w:rPr>
            </w:pPr>
          </w:p>
          <w:p w14:paraId="30FBFE25" w14:textId="77777777" w:rsidR="00460C7A" w:rsidRPr="00184E30" w:rsidRDefault="000365A5" w:rsidP="001979EF">
            <w:pPr>
              <w:numPr>
                <w:ilvl w:val="0"/>
                <w:numId w:val="11"/>
              </w:numPr>
              <w:autoSpaceDE w:val="0"/>
              <w:autoSpaceDN w:val="0"/>
              <w:adjustRightInd w:val="0"/>
              <w:ind w:left="0"/>
              <w:rPr>
                <w:rFonts w:ascii="Arial" w:hAnsi="Arial" w:cs="Arial"/>
                <w:sz w:val="22"/>
                <w:szCs w:val="22"/>
              </w:rPr>
            </w:pPr>
            <w:r w:rsidRPr="00184E30">
              <w:rPr>
                <w:rFonts w:ascii="Arial" w:hAnsi="Arial" w:cs="Arial"/>
                <w:sz w:val="22"/>
                <w:szCs w:val="22"/>
              </w:rPr>
              <w:t xml:space="preserve">Previously, </w:t>
            </w:r>
            <w:r w:rsidR="00760D78" w:rsidRPr="00184E30">
              <w:rPr>
                <w:rFonts w:ascii="Arial" w:hAnsi="Arial" w:cs="Arial"/>
                <w:sz w:val="22"/>
                <w:szCs w:val="22"/>
              </w:rPr>
              <w:t xml:space="preserve">the </w:t>
            </w:r>
            <w:r w:rsidRPr="00184E30">
              <w:rPr>
                <w:rFonts w:ascii="Arial" w:hAnsi="Arial" w:cs="Arial"/>
                <w:sz w:val="22"/>
                <w:szCs w:val="22"/>
              </w:rPr>
              <w:t xml:space="preserve">annual salary </w:t>
            </w:r>
            <w:r w:rsidR="00760D78" w:rsidRPr="00184E30">
              <w:rPr>
                <w:rFonts w:ascii="Arial" w:hAnsi="Arial" w:cs="Arial"/>
                <w:sz w:val="22"/>
                <w:szCs w:val="22"/>
              </w:rPr>
              <w:t xml:space="preserve">threshold </w:t>
            </w:r>
            <w:r w:rsidRPr="00184E30">
              <w:rPr>
                <w:rFonts w:ascii="Arial" w:hAnsi="Arial" w:cs="Arial"/>
                <w:sz w:val="22"/>
                <w:szCs w:val="22"/>
              </w:rPr>
              <w:t xml:space="preserve">of $100,00 or more had to be reported in the annual report. This is now increased to an annual salary of $130,000 or more. </w:t>
            </w:r>
          </w:p>
          <w:p w14:paraId="1F4CD96D" w14:textId="7ABC8DBA" w:rsidR="00460C7A" w:rsidRPr="00184E30" w:rsidRDefault="00460C7A" w:rsidP="001979EF">
            <w:pPr>
              <w:numPr>
                <w:ilvl w:val="0"/>
                <w:numId w:val="11"/>
              </w:numPr>
              <w:autoSpaceDE w:val="0"/>
              <w:autoSpaceDN w:val="0"/>
              <w:adjustRightInd w:val="0"/>
              <w:spacing w:before="120" w:after="120" w:line="276" w:lineRule="auto"/>
              <w:ind w:left="0"/>
              <w:rPr>
                <w:rFonts w:ascii="Arial" w:hAnsi="Arial" w:cs="Arial"/>
                <w:sz w:val="22"/>
                <w:szCs w:val="22"/>
              </w:rPr>
            </w:pPr>
            <w:r w:rsidRPr="00184E30">
              <w:rPr>
                <w:rFonts w:ascii="Arial" w:hAnsi="Arial" w:cs="Arial"/>
                <w:sz w:val="22"/>
                <w:szCs w:val="22"/>
              </w:rPr>
              <w:t>*</w:t>
            </w:r>
            <w:r w:rsidR="000A007F" w:rsidRPr="00184E30">
              <w:rPr>
                <w:rFonts w:ascii="Arial" w:hAnsi="Arial" w:cs="Arial"/>
                <w:sz w:val="22"/>
                <w:szCs w:val="22"/>
              </w:rPr>
              <w:t xml:space="preserve">Remuneration paid or provided to the CEO under the </w:t>
            </w:r>
            <w:r w:rsidR="000A007F" w:rsidRPr="00184E30">
              <w:rPr>
                <w:rFonts w:ascii="Arial" w:hAnsi="Arial" w:cs="Arial"/>
                <w:i/>
                <w:sz w:val="22"/>
                <w:szCs w:val="22"/>
              </w:rPr>
              <w:t>Salaries and Allowances Act 1975</w:t>
            </w:r>
            <w:r w:rsidR="000A007F" w:rsidRPr="00184E30">
              <w:rPr>
                <w:rFonts w:ascii="Arial" w:hAnsi="Arial" w:cs="Arial"/>
                <w:sz w:val="22"/>
                <w:szCs w:val="22"/>
              </w:rPr>
              <w:t xml:space="preserve"> includes salary, allowances, fees, emoluments (a salary, fee, or profit from employment or office) and benefits (whether in money or not).</w:t>
            </w:r>
          </w:p>
          <w:p w14:paraId="631325FD" w14:textId="390C53EE" w:rsidR="002E1E02" w:rsidRPr="00184E30" w:rsidRDefault="00460C7A" w:rsidP="001979EF">
            <w:pPr>
              <w:numPr>
                <w:ilvl w:val="0"/>
                <w:numId w:val="11"/>
              </w:numPr>
              <w:autoSpaceDE w:val="0"/>
              <w:autoSpaceDN w:val="0"/>
              <w:adjustRightInd w:val="0"/>
              <w:spacing w:before="120" w:after="120" w:line="276" w:lineRule="auto"/>
              <w:ind w:left="0"/>
              <w:rPr>
                <w:rFonts w:ascii="Arial" w:hAnsi="Arial" w:cs="Arial"/>
                <w:sz w:val="22"/>
                <w:szCs w:val="22"/>
              </w:rPr>
            </w:pPr>
            <w:r w:rsidRPr="00184E30">
              <w:rPr>
                <w:rFonts w:ascii="Arial" w:hAnsi="Arial" w:cs="Arial"/>
                <w:sz w:val="22"/>
                <w:szCs w:val="22"/>
              </w:rPr>
              <w:t>T</w:t>
            </w:r>
            <w:r w:rsidR="000A007F" w:rsidRPr="00184E30">
              <w:rPr>
                <w:rFonts w:ascii="Arial" w:hAnsi="Arial" w:cs="Arial"/>
                <w:sz w:val="22"/>
                <w:szCs w:val="22"/>
              </w:rPr>
              <w:t>he requirement to provide details of modifications to the strategic community plan and corporate business plan, where significant, made during the financial year has been moved from regulation 19CA (which is being deleted) to be included in 19B</w:t>
            </w:r>
            <w:r w:rsidR="00BB6D6D">
              <w:rPr>
                <w:rFonts w:ascii="Arial" w:hAnsi="Arial" w:cs="Arial"/>
                <w:sz w:val="22"/>
                <w:szCs w:val="22"/>
              </w:rPr>
              <w:t>.</w:t>
            </w:r>
          </w:p>
          <w:p w14:paraId="291D4A17" w14:textId="090C1FA2" w:rsidR="000A5DD7" w:rsidRPr="00184E30" w:rsidRDefault="000A5DD7" w:rsidP="003C6B2B">
            <w:pPr>
              <w:spacing w:before="120" w:after="120" w:line="276" w:lineRule="auto"/>
              <w:rPr>
                <w:rFonts w:ascii="Arial" w:hAnsi="Arial" w:cs="Arial"/>
                <w:sz w:val="22"/>
                <w:szCs w:val="22"/>
              </w:rPr>
            </w:pPr>
            <w:r w:rsidRPr="00184E30">
              <w:rPr>
                <w:rFonts w:ascii="Arial" w:hAnsi="Arial" w:cs="Arial"/>
                <w:sz w:val="22"/>
                <w:szCs w:val="22"/>
              </w:rPr>
              <w:t>These provisions take effect from the financial year beginning on or after 1 July 2020</w:t>
            </w:r>
            <w:r w:rsidR="007721F7" w:rsidRPr="00184E30">
              <w:rPr>
                <w:rFonts w:ascii="Arial" w:hAnsi="Arial" w:cs="Arial"/>
                <w:sz w:val="22"/>
                <w:szCs w:val="22"/>
              </w:rPr>
              <w:t xml:space="preserve">.  </w:t>
            </w:r>
            <w:r w:rsidRPr="00184E30">
              <w:rPr>
                <w:rFonts w:ascii="Arial" w:hAnsi="Arial" w:cs="Arial"/>
                <w:sz w:val="22"/>
                <w:szCs w:val="22"/>
              </w:rPr>
              <w:t>There is no requirement for local governments to publish the material listed above for years before these provisions come into effect.</w:t>
            </w:r>
          </w:p>
        </w:tc>
      </w:tr>
      <w:tr w:rsidR="007F2577" w:rsidRPr="004C0107" w14:paraId="2D780580" w14:textId="77777777" w:rsidTr="00762DAE">
        <w:tc>
          <w:tcPr>
            <w:tcW w:w="1099" w:type="dxa"/>
          </w:tcPr>
          <w:p w14:paraId="71D0DAE4" w14:textId="26D0A622"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Reg 21</w:t>
            </w:r>
          </w:p>
        </w:tc>
        <w:tc>
          <w:tcPr>
            <w:tcW w:w="2157" w:type="dxa"/>
          </w:tcPr>
          <w:p w14:paraId="746A6306"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19D</w:t>
            </w:r>
          </w:p>
        </w:tc>
        <w:tc>
          <w:tcPr>
            <w:tcW w:w="11056" w:type="dxa"/>
          </w:tcPr>
          <w:p w14:paraId="3065C34F" w14:textId="1DAF161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The method by which the public has access to the strategic community plan in regulation 19D </w:t>
            </w:r>
            <w:r w:rsidR="00377063" w:rsidRPr="00184E30">
              <w:rPr>
                <w:rFonts w:ascii="Arial" w:hAnsi="Arial" w:cs="Arial"/>
                <w:sz w:val="22"/>
                <w:szCs w:val="22"/>
              </w:rPr>
              <w:t xml:space="preserve">has been </w:t>
            </w:r>
            <w:r w:rsidRPr="00184E30">
              <w:rPr>
                <w:rFonts w:ascii="Arial" w:hAnsi="Arial" w:cs="Arial"/>
                <w:sz w:val="22"/>
                <w:szCs w:val="22"/>
              </w:rPr>
              <w:t>updated. The local government is to publish its strategic community plan on its official website. Local public notice is still required to be given of the adoption or modification of the plan.</w:t>
            </w:r>
          </w:p>
        </w:tc>
      </w:tr>
      <w:tr w:rsidR="007F2577" w:rsidRPr="004C0107" w14:paraId="19AE2F50" w14:textId="77777777" w:rsidTr="00762DAE">
        <w:tc>
          <w:tcPr>
            <w:tcW w:w="1099" w:type="dxa"/>
          </w:tcPr>
          <w:p w14:paraId="7077C4A8" w14:textId="75BDADCF"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22</w:t>
            </w:r>
          </w:p>
        </w:tc>
        <w:tc>
          <w:tcPr>
            <w:tcW w:w="2157" w:type="dxa"/>
          </w:tcPr>
          <w:p w14:paraId="3DC053F9"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29</w:t>
            </w:r>
          </w:p>
        </w:tc>
        <w:tc>
          <w:tcPr>
            <w:tcW w:w="11056" w:type="dxa"/>
          </w:tcPr>
          <w:p w14:paraId="16624383"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The information to be available for public inspection under regulation 29 is being amended to recognise that it is available in other forms.</w:t>
            </w:r>
          </w:p>
          <w:p w14:paraId="52C4BA14"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As regulation 12 of the </w:t>
            </w:r>
            <w:r w:rsidRPr="00184E30">
              <w:rPr>
                <w:rFonts w:ascii="Arial" w:hAnsi="Arial" w:cs="Arial"/>
                <w:i/>
                <w:sz w:val="22"/>
                <w:szCs w:val="22"/>
              </w:rPr>
              <w:t>Local Government (Rules of Conduct) Regulations 2007</w:t>
            </w:r>
            <w:r w:rsidRPr="00184E30">
              <w:rPr>
                <w:rFonts w:ascii="Arial" w:hAnsi="Arial" w:cs="Arial"/>
                <w:sz w:val="22"/>
                <w:szCs w:val="22"/>
              </w:rPr>
              <w:t xml:space="preserve"> was deleted as part of the reforms introduced by the </w:t>
            </w:r>
            <w:r w:rsidRPr="00184E30">
              <w:rPr>
                <w:rFonts w:ascii="Arial" w:hAnsi="Arial" w:cs="Arial"/>
                <w:i/>
                <w:sz w:val="22"/>
                <w:szCs w:val="22"/>
              </w:rPr>
              <w:t>Local Government Regulations Amendment (Gifts) Regulations 2019</w:t>
            </w:r>
            <w:r w:rsidRPr="00184E30">
              <w:rPr>
                <w:rFonts w:ascii="Arial" w:hAnsi="Arial" w:cs="Arial"/>
                <w:sz w:val="22"/>
                <w:szCs w:val="22"/>
              </w:rPr>
              <w:t>, the redundant reference in sub regulation 29(</w:t>
            </w:r>
            <w:proofErr w:type="gramStart"/>
            <w:r w:rsidRPr="00184E30">
              <w:rPr>
                <w:rFonts w:ascii="Arial" w:hAnsi="Arial" w:cs="Arial"/>
                <w:sz w:val="22"/>
                <w:szCs w:val="22"/>
              </w:rPr>
              <w:t>1)(</w:t>
            </w:r>
            <w:proofErr w:type="gramEnd"/>
            <w:r w:rsidRPr="00184E30">
              <w:rPr>
                <w:rFonts w:ascii="Arial" w:hAnsi="Arial" w:cs="Arial"/>
                <w:sz w:val="22"/>
                <w:szCs w:val="22"/>
              </w:rPr>
              <w:t>baa) is being deleted. The Act requires the gift register to be made available on the local government’s website.</w:t>
            </w:r>
          </w:p>
          <w:p w14:paraId="602361A9" w14:textId="17DDA972"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Regulation 13 is amended (see above) to provide that the unconfirmed minutes of each Council or Committee meeting that is open to the public is to be published on the local government’s official website.  The requirement in sub regulation 29(1)(c) is consequently unnecessary.</w:t>
            </w:r>
          </w:p>
          <w:p w14:paraId="38DD3FC6" w14:textId="7B379F2B" w:rsidR="00877EC0"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lastRenderedPageBreak/>
              <w:t xml:space="preserve">As regulation 14 </w:t>
            </w:r>
            <w:r w:rsidR="00377063" w:rsidRPr="00184E30">
              <w:rPr>
                <w:rFonts w:ascii="Arial" w:hAnsi="Arial" w:cs="Arial"/>
                <w:sz w:val="22"/>
                <w:szCs w:val="22"/>
              </w:rPr>
              <w:t>has been</w:t>
            </w:r>
            <w:r w:rsidRPr="00184E30">
              <w:rPr>
                <w:rFonts w:ascii="Arial" w:hAnsi="Arial" w:cs="Arial"/>
                <w:sz w:val="22"/>
                <w:szCs w:val="22"/>
              </w:rPr>
              <w:t xml:space="preserve"> amended (see above) to require notice papers, agendas, reports and other documentation produced for a local government or committee meeting to be published on the local government’s official website, the requirement in sub regulation 29(1)(d) is unnecessary and is being deleted. </w:t>
            </w:r>
            <w:r w:rsidR="00877EC0" w:rsidRPr="00184E30">
              <w:rPr>
                <w:rFonts w:ascii="Arial" w:hAnsi="Arial" w:cs="Arial"/>
                <w:sz w:val="22"/>
                <w:szCs w:val="22"/>
              </w:rPr>
              <w:t xml:space="preserve"> </w:t>
            </w:r>
            <w:r w:rsidRPr="00184E30">
              <w:rPr>
                <w:rFonts w:ascii="Arial" w:hAnsi="Arial" w:cs="Arial"/>
                <w:sz w:val="22"/>
                <w:szCs w:val="22"/>
              </w:rPr>
              <w:t xml:space="preserve">Since sub regulations 29(2)-(3) relate expressly to sub regulations 29(1)(c) and 29(1)(d) </w:t>
            </w:r>
            <w:r w:rsidR="00877EC0" w:rsidRPr="00184E30">
              <w:rPr>
                <w:rFonts w:ascii="Arial" w:hAnsi="Arial" w:cs="Arial"/>
                <w:sz w:val="22"/>
                <w:szCs w:val="22"/>
              </w:rPr>
              <w:t xml:space="preserve">(relating to closed meetings) </w:t>
            </w:r>
            <w:r w:rsidRPr="00184E30">
              <w:rPr>
                <w:rFonts w:ascii="Arial" w:hAnsi="Arial" w:cs="Arial"/>
                <w:sz w:val="22"/>
                <w:szCs w:val="22"/>
              </w:rPr>
              <w:t>above</w:t>
            </w:r>
            <w:r w:rsidR="00690DC7" w:rsidRPr="00184E30">
              <w:rPr>
                <w:rFonts w:ascii="Arial" w:hAnsi="Arial" w:cs="Arial"/>
                <w:sz w:val="22"/>
                <w:szCs w:val="22"/>
              </w:rPr>
              <w:t xml:space="preserve">, they are also </w:t>
            </w:r>
            <w:r w:rsidRPr="00184E30">
              <w:rPr>
                <w:rFonts w:ascii="Arial" w:hAnsi="Arial" w:cs="Arial"/>
                <w:sz w:val="22"/>
                <w:szCs w:val="22"/>
              </w:rPr>
              <w:t>being deleted.</w:t>
            </w:r>
          </w:p>
          <w:p w14:paraId="612A4F1F" w14:textId="0F33BDE9" w:rsidR="00F9273B" w:rsidRPr="00184E30" w:rsidRDefault="00E03DFD" w:rsidP="003D184C">
            <w:pPr>
              <w:spacing w:before="120" w:after="120" w:line="276" w:lineRule="auto"/>
              <w:rPr>
                <w:rFonts w:ascii="Arial" w:hAnsi="Arial" w:cs="Arial"/>
                <w:sz w:val="22"/>
                <w:szCs w:val="22"/>
              </w:rPr>
            </w:pPr>
            <w:r w:rsidRPr="00184E30">
              <w:rPr>
                <w:rFonts w:ascii="Arial" w:hAnsi="Arial" w:cs="Arial"/>
                <w:sz w:val="22"/>
                <w:szCs w:val="22"/>
              </w:rPr>
              <w:t>S</w:t>
            </w:r>
            <w:r w:rsidR="00877EC0" w:rsidRPr="00184E30">
              <w:rPr>
                <w:rFonts w:ascii="Arial" w:hAnsi="Arial" w:cs="Arial"/>
                <w:sz w:val="22"/>
                <w:szCs w:val="22"/>
              </w:rPr>
              <w:t xml:space="preserve">uperseded </w:t>
            </w:r>
            <w:r w:rsidRPr="00184E30">
              <w:rPr>
                <w:rFonts w:ascii="Arial" w:hAnsi="Arial" w:cs="Arial"/>
                <w:sz w:val="22"/>
                <w:szCs w:val="22"/>
              </w:rPr>
              <w:t xml:space="preserve">(previous) </w:t>
            </w:r>
            <w:r w:rsidR="00877EC0" w:rsidRPr="00184E30">
              <w:rPr>
                <w:rFonts w:ascii="Arial" w:hAnsi="Arial" w:cs="Arial"/>
                <w:sz w:val="22"/>
                <w:szCs w:val="22"/>
              </w:rPr>
              <w:t>versions of policies are to be made available for public inspection</w:t>
            </w:r>
            <w:r w:rsidR="0098498F" w:rsidRPr="00184E30">
              <w:rPr>
                <w:rFonts w:ascii="Arial" w:hAnsi="Arial" w:cs="Arial"/>
                <w:sz w:val="22"/>
                <w:szCs w:val="22"/>
              </w:rPr>
              <w:t>.</w:t>
            </w:r>
            <w:r w:rsidR="00FA06C3" w:rsidRPr="00184E30">
              <w:rPr>
                <w:rFonts w:ascii="Arial" w:hAnsi="Arial" w:cs="Arial"/>
                <w:sz w:val="22"/>
                <w:szCs w:val="22"/>
              </w:rPr>
              <w:t xml:space="preserve"> Current policies are to be made available on a local government’s website - </w:t>
            </w:r>
            <w:r w:rsidR="00877EC0" w:rsidRPr="00184E30">
              <w:rPr>
                <w:rFonts w:ascii="Arial" w:hAnsi="Arial" w:cs="Arial"/>
                <w:sz w:val="22"/>
                <w:szCs w:val="22"/>
              </w:rPr>
              <w:t>see new 29C below</w:t>
            </w:r>
            <w:r w:rsidR="00FA06C3" w:rsidRPr="00184E30">
              <w:rPr>
                <w:rFonts w:ascii="Arial" w:hAnsi="Arial" w:cs="Arial"/>
                <w:sz w:val="22"/>
                <w:szCs w:val="22"/>
              </w:rPr>
              <w:t>.</w:t>
            </w:r>
            <w:r w:rsidR="00377063" w:rsidRPr="00184E30">
              <w:rPr>
                <w:rFonts w:ascii="Arial" w:hAnsi="Arial" w:cs="Arial"/>
                <w:sz w:val="22"/>
                <w:szCs w:val="22"/>
              </w:rPr>
              <w:t xml:space="preserve"> </w:t>
            </w:r>
          </w:p>
          <w:p w14:paraId="213375DA" w14:textId="7A3BBF64" w:rsidR="007F2577" w:rsidRPr="00184E30" w:rsidRDefault="00377063" w:rsidP="003D184C">
            <w:pPr>
              <w:spacing w:before="120" w:after="120" w:line="276" w:lineRule="auto"/>
              <w:rPr>
                <w:rFonts w:ascii="Arial" w:hAnsi="Arial" w:cs="Arial"/>
                <w:b/>
                <w:sz w:val="22"/>
                <w:szCs w:val="22"/>
              </w:rPr>
            </w:pPr>
            <w:r w:rsidRPr="00184E30">
              <w:rPr>
                <w:rFonts w:ascii="Arial" w:hAnsi="Arial" w:cs="Arial"/>
                <w:sz w:val="22"/>
                <w:szCs w:val="22"/>
              </w:rPr>
              <w:t>There is no requirement for local governments to publish the previous versions of policies for years before these provisions came into effect.</w:t>
            </w:r>
          </w:p>
        </w:tc>
      </w:tr>
      <w:tr w:rsidR="007F2577" w:rsidRPr="004C0107" w14:paraId="3ECEA68D" w14:textId="77777777" w:rsidTr="00762DAE">
        <w:tc>
          <w:tcPr>
            <w:tcW w:w="1099" w:type="dxa"/>
          </w:tcPr>
          <w:p w14:paraId="4A59CE07" w14:textId="08C1E513"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 xml:space="preserve">Reg 23 </w:t>
            </w:r>
          </w:p>
        </w:tc>
        <w:tc>
          <w:tcPr>
            <w:tcW w:w="2157" w:type="dxa"/>
          </w:tcPr>
          <w:p w14:paraId="7241C4B2"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29A</w:t>
            </w:r>
          </w:p>
        </w:tc>
        <w:tc>
          <w:tcPr>
            <w:tcW w:w="11056" w:type="dxa"/>
          </w:tcPr>
          <w:p w14:paraId="6023DEEB"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Section 5.95(5) of the </w:t>
            </w:r>
            <w:r w:rsidRPr="00184E30">
              <w:rPr>
                <w:rFonts w:ascii="Arial" w:hAnsi="Arial" w:cs="Arial"/>
                <w:i/>
                <w:sz w:val="22"/>
                <w:szCs w:val="22"/>
              </w:rPr>
              <w:t>Local Government Act 1995</w:t>
            </w:r>
            <w:r w:rsidRPr="00184E30">
              <w:rPr>
                <w:rFonts w:ascii="Arial" w:hAnsi="Arial" w:cs="Arial"/>
                <w:sz w:val="22"/>
                <w:szCs w:val="22"/>
              </w:rPr>
              <w:t xml:space="preserve"> was deleted by section 46(2) of the </w:t>
            </w:r>
            <w:r w:rsidRPr="00184E30">
              <w:rPr>
                <w:rFonts w:ascii="Arial" w:hAnsi="Arial" w:cs="Arial"/>
                <w:i/>
                <w:sz w:val="22"/>
                <w:szCs w:val="22"/>
              </w:rPr>
              <w:t xml:space="preserve">Local Government Legislation Amendment Act 2019, </w:t>
            </w:r>
            <w:r w:rsidRPr="00184E30">
              <w:rPr>
                <w:rFonts w:ascii="Arial" w:hAnsi="Arial" w:cs="Arial"/>
                <w:sz w:val="22"/>
                <w:szCs w:val="22"/>
              </w:rPr>
              <w:t>removing the requirement to make the contract of a CEO or a Senior Employee available for inspection. As a consequence, regulation 29</w:t>
            </w:r>
            <w:proofErr w:type="gramStart"/>
            <w:r w:rsidRPr="00184E30">
              <w:rPr>
                <w:rFonts w:ascii="Arial" w:hAnsi="Arial" w:cs="Arial"/>
                <w:sz w:val="22"/>
                <w:szCs w:val="22"/>
              </w:rPr>
              <w:t>A(</w:t>
            </w:r>
            <w:proofErr w:type="gramEnd"/>
            <w:r w:rsidRPr="00184E30">
              <w:rPr>
                <w:rFonts w:ascii="Arial" w:hAnsi="Arial" w:cs="Arial"/>
                <w:sz w:val="22"/>
                <w:szCs w:val="22"/>
              </w:rPr>
              <w:t>1) is being deleted.</w:t>
            </w:r>
          </w:p>
          <w:p w14:paraId="5B2BB9C2"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Instead the remuneration paid or provided to the CEO is to be disclosed in the annual report (see 19B above).</w:t>
            </w:r>
          </w:p>
        </w:tc>
      </w:tr>
      <w:tr w:rsidR="000A007F" w:rsidRPr="004C0107" w14:paraId="67E4C0D6" w14:textId="77777777" w:rsidTr="00762DAE">
        <w:tc>
          <w:tcPr>
            <w:tcW w:w="1099" w:type="dxa"/>
          </w:tcPr>
          <w:p w14:paraId="18D83655" w14:textId="117DBB95" w:rsidR="000A007F" w:rsidRPr="00184E30" w:rsidRDefault="000A007F" w:rsidP="000A007F">
            <w:pPr>
              <w:spacing w:before="120" w:after="240" w:line="276" w:lineRule="auto"/>
              <w:rPr>
                <w:rFonts w:ascii="Arial" w:hAnsi="Arial"/>
                <w:sz w:val="22"/>
                <w:szCs w:val="22"/>
              </w:rPr>
            </w:pPr>
            <w:r w:rsidRPr="00184E30">
              <w:rPr>
                <w:rFonts w:ascii="Arial" w:hAnsi="Arial"/>
                <w:sz w:val="22"/>
                <w:szCs w:val="22"/>
              </w:rPr>
              <w:t>Reg 24</w:t>
            </w:r>
          </w:p>
        </w:tc>
        <w:tc>
          <w:tcPr>
            <w:tcW w:w="2157" w:type="dxa"/>
          </w:tcPr>
          <w:p w14:paraId="39A91CD1" w14:textId="77777777" w:rsidR="000A007F" w:rsidRPr="00184E30" w:rsidRDefault="000A007F" w:rsidP="000A007F">
            <w:pPr>
              <w:spacing w:before="120" w:after="240" w:line="276" w:lineRule="auto"/>
              <w:rPr>
                <w:rFonts w:ascii="Arial" w:hAnsi="Arial"/>
                <w:sz w:val="22"/>
                <w:szCs w:val="22"/>
              </w:rPr>
            </w:pPr>
            <w:r w:rsidRPr="00184E30">
              <w:rPr>
                <w:rFonts w:ascii="Arial" w:hAnsi="Arial"/>
                <w:sz w:val="22"/>
                <w:szCs w:val="22"/>
              </w:rPr>
              <w:t>Regulations 29C and 29D</w:t>
            </w:r>
          </w:p>
        </w:tc>
        <w:tc>
          <w:tcPr>
            <w:tcW w:w="11056" w:type="dxa"/>
          </w:tcPr>
          <w:p w14:paraId="0B15EC00" w14:textId="3B228FAD" w:rsidR="000A007F" w:rsidRPr="00184E30" w:rsidRDefault="000A007F" w:rsidP="000A007F">
            <w:pPr>
              <w:spacing w:before="120" w:after="40" w:line="276" w:lineRule="auto"/>
              <w:rPr>
                <w:rFonts w:ascii="Arial" w:hAnsi="Arial" w:cs="Arial"/>
                <w:sz w:val="22"/>
                <w:szCs w:val="22"/>
              </w:rPr>
            </w:pPr>
            <w:r w:rsidRPr="00184E30">
              <w:rPr>
                <w:rFonts w:ascii="Arial" w:hAnsi="Arial" w:cs="Arial"/>
                <w:sz w:val="22"/>
                <w:szCs w:val="22"/>
              </w:rPr>
              <w:t xml:space="preserve">New regulation 29C imposes an obligation on the CEO of a local government to publish information on the local government official website (in addition to that information in section 5.96A(1) of the </w:t>
            </w:r>
            <w:r w:rsidRPr="00184E30">
              <w:rPr>
                <w:rFonts w:ascii="Arial" w:hAnsi="Arial" w:cs="Arial"/>
                <w:i/>
                <w:sz w:val="22"/>
                <w:szCs w:val="22"/>
              </w:rPr>
              <w:t>Local Government Act 1995</w:t>
            </w:r>
            <w:r w:rsidRPr="00184E30">
              <w:rPr>
                <w:rFonts w:ascii="Arial" w:hAnsi="Arial" w:cs="Arial"/>
                <w:sz w:val="22"/>
                <w:szCs w:val="22"/>
              </w:rPr>
              <w:t>). The additional information includes</w:t>
            </w:r>
            <w:r w:rsidR="008D7CE9">
              <w:rPr>
                <w:rFonts w:ascii="Arial" w:hAnsi="Arial" w:cs="Arial"/>
                <w:sz w:val="22"/>
                <w:szCs w:val="22"/>
              </w:rPr>
              <w:t xml:space="preserve">: </w:t>
            </w:r>
          </w:p>
          <w:p w14:paraId="630B746B" w14:textId="5A623D1C" w:rsidR="000A007F" w:rsidRPr="00184E30" w:rsidRDefault="008D7CE9" w:rsidP="000A007F">
            <w:pPr>
              <w:numPr>
                <w:ilvl w:val="0"/>
                <w:numId w:val="3"/>
              </w:numPr>
              <w:spacing w:before="40" w:after="40"/>
              <w:ind w:left="714" w:hanging="357"/>
              <w:rPr>
                <w:rFonts w:ascii="Arial" w:hAnsi="Arial" w:cs="Arial"/>
                <w:sz w:val="22"/>
                <w:szCs w:val="22"/>
              </w:rPr>
            </w:pPr>
            <w:r>
              <w:rPr>
                <w:rFonts w:ascii="Arial" w:hAnsi="Arial" w:cs="Arial"/>
                <w:sz w:val="22"/>
                <w:szCs w:val="22"/>
              </w:rPr>
              <w:t>a</w:t>
            </w:r>
            <w:r w:rsidR="000A007F" w:rsidRPr="00184E30">
              <w:rPr>
                <w:rFonts w:ascii="Arial" w:hAnsi="Arial" w:cs="Arial"/>
                <w:sz w:val="22"/>
                <w:szCs w:val="22"/>
              </w:rPr>
              <w:t>ny adverse recommendation from an inquiry by an authorised person under section 8.13 (authorised persons report);</w:t>
            </w:r>
          </w:p>
          <w:p w14:paraId="497E2475" w14:textId="7D19D8C1" w:rsidR="000A007F" w:rsidRPr="00184E30" w:rsidRDefault="008D7CE9" w:rsidP="000A007F">
            <w:pPr>
              <w:numPr>
                <w:ilvl w:val="0"/>
                <w:numId w:val="3"/>
              </w:numPr>
              <w:spacing w:before="40" w:after="40"/>
              <w:ind w:left="714" w:hanging="357"/>
              <w:rPr>
                <w:rFonts w:ascii="Arial" w:hAnsi="Arial" w:cs="Arial"/>
                <w:sz w:val="22"/>
                <w:szCs w:val="22"/>
              </w:rPr>
            </w:pPr>
            <w:r>
              <w:rPr>
                <w:rFonts w:ascii="Arial" w:hAnsi="Arial" w:cs="Arial"/>
                <w:sz w:val="22"/>
                <w:szCs w:val="22"/>
              </w:rPr>
              <w:t>a</w:t>
            </w:r>
            <w:r w:rsidR="000A007F" w:rsidRPr="00184E30">
              <w:rPr>
                <w:rFonts w:ascii="Arial" w:hAnsi="Arial" w:cs="Arial"/>
                <w:sz w:val="22"/>
                <w:szCs w:val="22"/>
              </w:rPr>
              <w:t>ny adverse finding or recommendation made by an oversight body being the Corruption and Crime Commission, Public Sector Commissioner, State Administrative Tribunal, an Inquiry Panel</w:t>
            </w:r>
            <w:r w:rsidR="00536B64" w:rsidRPr="00184E30">
              <w:rPr>
                <w:rFonts w:ascii="Arial" w:hAnsi="Arial" w:cs="Arial"/>
                <w:sz w:val="22"/>
                <w:szCs w:val="22"/>
              </w:rPr>
              <w:t xml:space="preserve"> </w:t>
            </w:r>
            <w:r w:rsidR="000A007F" w:rsidRPr="00184E30">
              <w:rPr>
                <w:rFonts w:ascii="Arial" w:hAnsi="Arial" w:cs="Arial"/>
                <w:sz w:val="22"/>
                <w:szCs w:val="22"/>
              </w:rPr>
              <w:t xml:space="preserve">or a Royal Commission, against the local government, the council, a council member or the CEO, once this is made available to the public; </w:t>
            </w:r>
          </w:p>
          <w:p w14:paraId="07497273" w14:textId="25D9A34C" w:rsidR="000A007F" w:rsidRPr="00184E30" w:rsidRDefault="008D7CE9" w:rsidP="000A007F">
            <w:pPr>
              <w:numPr>
                <w:ilvl w:val="0"/>
                <w:numId w:val="3"/>
              </w:numPr>
              <w:spacing w:before="40" w:after="40"/>
              <w:ind w:left="714" w:hanging="357"/>
              <w:rPr>
                <w:rFonts w:ascii="Arial" w:hAnsi="Arial" w:cs="Arial"/>
                <w:sz w:val="22"/>
                <w:szCs w:val="22"/>
              </w:rPr>
            </w:pPr>
            <w:r>
              <w:rPr>
                <w:rFonts w:ascii="Arial" w:hAnsi="Arial" w:cs="Arial"/>
                <w:sz w:val="22"/>
                <w:szCs w:val="22"/>
              </w:rPr>
              <w:t>c</w:t>
            </w:r>
            <w:r w:rsidR="000A007F" w:rsidRPr="00184E30">
              <w:rPr>
                <w:rFonts w:ascii="Arial" w:hAnsi="Arial" w:cs="Arial"/>
                <w:sz w:val="22"/>
                <w:szCs w:val="22"/>
              </w:rPr>
              <w:t xml:space="preserve">urrent versions of </w:t>
            </w:r>
            <w:r w:rsidR="009110FB" w:rsidRPr="00184E30">
              <w:rPr>
                <w:rFonts w:ascii="Arial" w:hAnsi="Arial" w:cs="Arial"/>
                <w:sz w:val="22"/>
                <w:szCs w:val="22"/>
              </w:rPr>
              <w:t xml:space="preserve">local government policies </w:t>
            </w:r>
            <w:r w:rsidR="000A007F" w:rsidRPr="00184E30">
              <w:rPr>
                <w:rFonts w:ascii="Arial" w:hAnsi="Arial" w:cs="Arial"/>
                <w:sz w:val="22"/>
                <w:szCs w:val="22"/>
              </w:rPr>
              <w:t>(</w:t>
            </w:r>
            <w:r w:rsidR="000927FF" w:rsidRPr="00184E30">
              <w:rPr>
                <w:rFonts w:ascii="Arial" w:hAnsi="Arial" w:cs="Arial"/>
                <w:sz w:val="22"/>
                <w:szCs w:val="22"/>
              </w:rPr>
              <w:t xml:space="preserve">this amendment captures any </w:t>
            </w:r>
            <w:r w:rsidR="00531C70" w:rsidRPr="00184E30">
              <w:rPr>
                <w:rFonts w:ascii="Arial" w:hAnsi="Arial" w:cs="Arial"/>
                <w:sz w:val="22"/>
                <w:szCs w:val="22"/>
              </w:rPr>
              <w:t>policy</w:t>
            </w:r>
            <w:r w:rsidR="000927FF" w:rsidRPr="00184E30">
              <w:rPr>
                <w:rFonts w:ascii="Arial" w:hAnsi="Arial" w:cs="Arial"/>
                <w:sz w:val="22"/>
                <w:szCs w:val="22"/>
              </w:rPr>
              <w:t xml:space="preserve"> made under any legislation, including the Local Government Act.</w:t>
            </w:r>
            <w:r w:rsidR="000A007F" w:rsidRPr="00184E30">
              <w:rPr>
                <w:rFonts w:ascii="Arial" w:hAnsi="Arial" w:cs="Arial"/>
                <w:sz w:val="22"/>
                <w:szCs w:val="22"/>
              </w:rPr>
              <w:t xml:space="preserve">) </w:t>
            </w:r>
            <w:r w:rsidR="008C1931" w:rsidRPr="00184E30">
              <w:rPr>
                <w:rFonts w:ascii="Arial" w:hAnsi="Arial" w:cs="Arial"/>
                <w:sz w:val="22"/>
                <w:szCs w:val="22"/>
              </w:rPr>
              <w:t>P</w:t>
            </w:r>
            <w:r w:rsidR="000A007F" w:rsidRPr="00184E30">
              <w:rPr>
                <w:rFonts w:ascii="Arial" w:hAnsi="Arial" w:cs="Arial"/>
                <w:sz w:val="22"/>
                <w:szCs w:val="22"/>
              </w:rPr>
              <w:t xml:space="preserve">revious versions of </w:t>
            </w:r>
            <w:r w:rsidR="00531C70" w:rsidRPr="00184E30">
              <w:rPr>
                <w:rFonts w:ascii="Arial" w:hAnsi="Arial" w:cs="Arial"/>
                <w:sz w:val="22"/>
                <w:szCs w:val="22"/>
              </w:rPr>
              <w:t>local government policies</w:t>
            </w:r>
            <w:r w:rsidR="000A007F" w:rsidRPr="00184E30">
              <w:rPr>
                <w:rFonts w:ascii="Arial" w:hAnsi="Arial" w:cs="Arial"/>
                <w:sz w:val="22"/>
                <w:szCs w:val="22"/>
              </w:rPr>
              <w:t xml:space="preserve"> do not have to be made available on the official website but do have to be available for inspection if requested (</w:t>
            </w:r>
            <w:r w:rsidR="000927FF" w:rsidRPr="00184E30">
              <w:rPr>
                <w:rFonts w:ascii="Arial" w:hAnsi="Arial" w:cs="Arial"/>
                <w:sz w:val="22"/>
                <w:szCs w:val="22"/>
              </w:rPr>
              <w:t xml:space="preserve">see </w:t>
            </w:r>
            <w:r w:rsidR="000A007F" w:rsidRPr="00184E30">
              <w:rPr>
                <w:rFonts w:ascii="Arial" w:hAnsi="Arial" w:cs="Arial"/>
                <w:sz w:val="22"/>
                <w:szCs w:val="22"/>
              </w:rPr>
              <w:t>regulation 29</w:t>
            </w:r>
            <w:r w:rsidR="000927FF" w:rsidRPr="00184E30">
              <w:rPr>
                <w:rFonts w:ascii="Arial" w:hAnsi="Arial" w:cs="Arial"/>
                <w:sz w:val="22"/>
                <w:szCs w:val="22"/>
              </w:rPr>
              <w:t xml:space="preserve"> above</w:t>
            </w:r>
            <w:r w:rsidR="000A007F" w:rsidRPr="00184E30">
              <w:rPr>
                <w:rFonts w:ascii="Arial" w:hAnsi="Arial" w:cs="Arial"/>
                <w:sz w:val="22"/>
                <w:szCs w:val="22"/>
              </w:rPr>
              <w:t>).</w:t>
            </w:r>
            <w:r w:rsidR="00BB39A7" w:rsidRPr="00184E30">
              <w:rPr>
                <w:rFonts w:ascii="Arial" w:hAnsi="Arial" w:cs="Arial"/>
                <w:sz w:val="22"/>
                <w:szCs w:val="22"/>
              </w:rPr>
              <w:t xml:space="preserve">  </w:t>
            </w:r>
          </w:p>
          <w:p w14:paraId="27B8665E" w14:textId="0D719A1E" w:rsidR="000A007F" w:rsidRPr="00184E30" w:rsidRDefault="008D7CE9" w:rsidP="000A007F">
            <w:pPr>
              <w:numPr>
                <w:ilvl w:val="0"/>
                <w:numId w:val="3"/>
              </w:numPr>
              <w:spacing w:before="40" w:after="40"/>
              <w:ind w:left="714" w:hanging="357"/>
              <w:rPr>
                <w:rFonts w:ascii="Arial" w:hAnsi="Arial" w:cs="Arial"/>
                <w:sz w:val="22"/>
                <w:szCs w:val="22"/>
              </w:rPr>
            </w:pPr>
            <w:r>
              <w:rPr>
                <w:rFonts w:ascii="Arial" w:hAnsi="Arial" w:cs="Arial"/>
                <w:sz w:val="22"/>
                <w:szCs w:val="22"/>
              </w:rPr>
              <w:t>t</w:t>
            </w:r>
            <w:r w:rsidR="000A007F" w:rsidRPr="00184E30">
              <w:rPr>
                <w:rFonts w:ascii="Arial" w:hAnsi="Arial" w:cs="Arial"/>
                <w:sz w:val="22"/>
                <w:szCs w:val="22"/>
              </w:rPr>
              <w:t>he name of each council member who has lodged a primary or annual return for</w:t>
            </w:r>
            <w:r w:rsidR="00764B84" w:rsidRPr="00184E30">
              <w:rPr>
                <w:rFonts w:ascii="Arial" w:hAnsi="Arial" w:cs="Arial"/>
                <w:sz w:val="22"/>
                <w:szCs w:val="22"/>
              </w:rPr>
              <w:t xml:space="preserve"> a</w:t>
            </w:r>
            <w:r w:rsidR="000A007F" w:rsidRPr="00184E30">
              <w:rPr>
                <w:rFonts w:ascii="Arial" w:hAnsi="Arial" w:cs="Arial"/>
                <w:sz w:val="22"/>
                <w:szCs w:val="22"/>
              </w:rPr>
              <w:t xml:space="preserve"> financial year</w:t>
            </w:r>
            <w:r w:rsidR="00764B84" w:rsidRPr="00184E30">
              <w:rPr>
                <w:rFonts w:ascii="Arial" w:hAnsi="Arial" w:cs="Arial"/>
                <w:sz w:val="22"/>
                <w:szCs w:val="22"/>
              </w:rPr>
              <w:t xml:space="preserve"> beginning </w:t>
            </w:r>
            <w:r w:rsidR="0048226D" w:rsidRPr="00184E30">
              <w:rPr>
                <w:rFonts w:ascii="Arial" w:hAnsi="Arial" w:cs="Arial"/>
                <w:sz w:val="22"/>
                <w:szCs w:val="22"/>
              </w:rPr>
              <w:t>1 July 2020</w:t>
            </w:r>
            <w:r w:rsidR="000A007F" w:rsidRPr="00184E30">
              <w:rPr>
                <w:rFonts w:ascii="Arial" w:hAnsi="Arial" w:cs="Arial"/>
                <w:sz w:val="22"/>
                <w:szCs w:val="22"/>
              </w:rPr>
              <w:t>;</w:t>
            </w:r>
          </w:p>
          <w:p w14:paraId="683BEDA7" w14:textId="51BB5C43" w:rsidR="000A007F" w:rsidRPr="00184E30" w:rsidRDefault="008D7CE9" w:rsidP="000A007F">
            <w:pPr>
              <w:numPr>
                <w:ilvl w:val="0"/>
                <w:numId w:val="3"/>
              </w:numPr>
              <w:spacing w:before="40" w:after="40"/>
              <w:ind w:left="714" w:hanging="357"/>
              <w:rPr>
                <w:rFonts w:ascii="Arial" w:hAnsi="Arial" w:cs="Arial"/>
                <w:sz w:val="22"/>
                <w:szCs w:val="22"/>
              </w:rPr>
            </w:pPr>
            <w:r>
              <w:rPr>
                <w:rFonts w:ascii="Arial" w:hAnsi="Arial" w:cs="Arial"/>
                <w:sz w:val="22"/>
                <w:szCs w:val="22"/>
              </w:rPr>
              <w:lastRenderedPageBreak/>
              <w:t>t</w:t>
            </w:r>
            <w:r w:rsidR="000A007F" w:rsidRPr="00184E30">
              <w:rPr>
                <w:rFonts w:ascii="Arial" w:hAnsi="Arial" w:cs="Arial"/>
                <w:sz w:val="22"/>
                <w:szCs w:val="22"/>
              </w:rPr>
              <w:t xml:space="preserve">he position of each employee who has lodged a primary or annual return for </w:t>
            </w:r>
            <w:r w:rsidR="0048226D" w:rsidRPr="00184E30">
              <w:rPr>
                <w:rFonts w:ascii="Arial" w:hAnsi="Arial" w:cs="Arial"/>
                <w:sz w:val="22"/>
                <w:szCs w:val="22"/>
              </w:rPr>
              <w:t xml:space="preserve">a financial year beginning 1 July 2020 </w:t>
            </w:r>
            <w:r w:rsidR="000A007F" w:rsidRPr="00184E30">
              <w:rPr>
                <w:rFonts w:ascii="Arial" w:hAnsi="Arial" w:cs="Arial"/>
                <w:sz w:val="22"/>
                <w:szCs w:val="22"/>
              </w:rPr>
              <w:t>(the returns themselves will not be published); and</w:t>
            </w:r>
          </w:p>
          <w:p w14:paraId="5E1900C6" w14:textId="7A04B4BC" w:rsidR="000A007F" w:rsidRPr="00184E30" w:rsidRDefault="008D7CE9" w:rsidP="000A007F">
            <w:pPr>
              <w:numPr>
                <w:ilvl w:val="0"/>
                <w:numId w:val="3"/>
              </w:numPr>
              <w:spacing w:before="40" w:after="120"/>
              <w:ind w:left="714" w:hanging="357"/>
              <w:rPr>
                <w:rFonts w:ascii="Arial" w:hAnsi="Arial" w:cs="Arial"/>
                <w:sz w:val="22"/>
                <w:szCs w:val="22"/>
              </w:rPr>
            </w:pPr>
            <w:r>
              <w:rPr>
                <w:rFonts w:ascii="Arial" w:hAnsi="Arial" w:cs="Arial"/>
                <w:sz w:val="22"/>
                <w:szCs w:val="22"/>
              </w:rPr>
              <w:t>t</w:t>
            </w:r>
            <w:r w:rsidR="000A007F" w:rsidRPr="00184E30">
              <w:rPr>
                <w:rFonts w:ascii="Arial" w:hAnsi="Arial" w:cs="Arial"/>
                <w:sz w:val="22"/>
                <w:szCs w:val="22"/>
              </w:rPr>
              <w:t xml:space="preserve">he type and amount or value of fees, expenses </w:t>
            </w:r>
            <w:r w:rsidR="00C32177" w:rsidRPr="00184E30">
              <w:rPr>
                <w:rFonts w:ascii="Arial" w:hAnsi="Arial" w:cs="Arial"/>
                <w:sz w:val="22"/>
                <w:szCs w:val="22"/>
              </w:rPr>
              <w:t>or</w:t>
            </w:r>
            <w:r w:rsidR="000A007F" w:rsidRPr="00184E30">
              <w:rPr>
                <w:rFonts w:ascii="Arial" w:hAnsi="Arial" w:cs="Arial"/>
                <w:sz w:val="22"/>
                <w:szCs w:val="22"/>
              </w:rPr>
              <w:t xml:space="preserve"> allowances paid to each council member, mayor or president during</w:t>
            </w:r>
            <w:r w:rsidR="00C32177" w:rsidRPr="00184E30">
              <w:rPr>
                <w:rFonts w:ascii="Arial" w:hAnsi="Arial" w:cs="Arial"/>
                <w:sz w:val="22"/>
                <w:szCs w:val="22"/>
              </w:rPr>
              <w:t xml:space="preserve"> a financial year beginning 1 July 2020</w:t>
            </w:r>
            <w:r w:rsidR="000A007F" w:rsidRPr="00184E30">
              <w:rPr>
                <w:rFonts w:ascii="Arial" w:hAnsi="Arial" w:cs="Arial"/>
                <w:sz w:val="22"/>
                <w:szCs w:val="22"/>
              </w:rPr>
              <w:t>.  These will need to be detailed by person and type.</w:t>
            </w:r>
          </w:p>
          <w:p w14:paraId="003F955C" w14:textId="77777777" w:rsidR="000A007F" w:rsidRPr="00184E30" w:rsidRDefault="000A007F" w:rsidP="000A007F">
            <w:pPr>
              <w:spacing w:before="120" w:after="120" w:line="276" w:lineRule="auto"/>
              <w:rPr>
                <w:rFonts w:ascii="Arial" w:hAnsi="Arial" w:cs="Arial"/>
                <w:sz w:val="22"/>
                <w:szCs w:val="22"/>
              </w:rPr>
            </w:pPr>
            <w:r w:rsidRPr="00184E30">
              <w:rPr>
                <w:rFonts w:ascii="Arial" w:hAnsi="Arial" w:cs="Arial"/>
                <w:sz w:val="22"/>
                <w:szCs w:val="22"/>
              </w:rPr>
              <w:t xml:space="preserve">Regulation 29C also includes timeframes for each class of information to be published on the local government’s official website. </w:t>
            </w:r>
          </w:p>
          <w:p w14:paraId="22518D57" w14:textId="4CB68C00" w:rsidR="000A007F" w:rsidRPr="00184E30" w:rsidRDefault="000A007F" w:rsidP="000A007F">
            <w:pPr>
              <w:spacing w:before="120" w:after="40" w:line="276" w:lineRule="auto"/>
              <w:rPr>
                <w:rFonts w:ascii="Arial" w:hAnsi="Arial" w:cs="Arial"/>
                <w:sz w:val="22"/>
                <w:szCs w:val="22"/>
              </w:rPr>
            </w:pPr>
            <w:r w:rsidRPr="00184E30">
              <w:rPr>
                <w:rFonts w:ascii="Arial" w:hAnsi="Arial" w:cs="Arial"/>
                <w:sz w:val="22"/>
                <w:szCs w:val="22"/>
              </w:rPr>
              <w:t xml:space="preserve">New regulation 29D specifies the period for which information must be kept on the local government’s official website. The following documents must be retained for a period of not less than </w:t>
            </w:r>
            <w:r w:rsidR="008D7CE9">
              <w:rPr>
                <w:rFonts w:ascii="Arial" w:hAnsi="Arial" w:cs="Arial"/>
                <w:sz w:val="22"/>
                <w:szCs w:val="22"/>
              </w:rPr>
              <w:t>five</w:t>
            </w:r>
            <w:r w:rsidRPr="00184E30">
              <w:rPr>
                <w:rFonts w:ascii="Arial" w:hAnsi="Arial" w:cs="Arial"/>
                <w:sz w:val="22"/>
                <w:szCs w:val="22"/>
              </w:rPr>
              <w:t xml:space="preserve"> years beginning on the day the information is first published:</w:t>
            </w:r>
          </w:p>
          <w:p w14:paraId="2DA80ECF" w14:textId="77777777" w:rsidR="000A007F" w:rsidRPr="00184E30" w:rsidRDefault="000A007F" w:rsidP="000A007F">
            <w:pPr>
              <w:numPr>
                <w:ilvl w:val="0"/>
                <w:numId w:val="3"/>
              </w:numPr>
              <w:spacing w:before="40" w:after="40"/>
              <w:ind w:left="714" w:hanging="357"/>
              <w:rPr>
                <w:rFonts w:ascii="Arial" w:hAnsi="Arial" w:cs="Arial"/>
                <w:sz w:val="22"/>
                <w:szCs w:val="22"/>
              </w:rPr>
            </w:pPr>
            <w:r w:rsidRPr="00184E30">
              <w:rPr>
                <w:rFonts w:ascii="Arial" w:eastAsia="Calibri" w:hAnsi="Arial" w:cs="Arial"/>
                <w:sz w:val="22"/>
                <w:szCs w:val="22"/>
              </w:rPr>
              <w:t xml:space="preserve">The </w:t>
            </w:r>
            <w:r w:rsidRPr="00184E30">
              <w:rPr>
                <w:rFonts w:ascii="Arial" w:hAnsi="Arial" w:cs="Arial"/>
                <w:sz w:val="22"/>
                <w:szCs w:val="22"/>
              </w:rPr>
              <w:t>annual report;</w:t>
            </w:r>
          </w:p>
          <w:p w14:paraId="234CF903" w14:textId="301AC771" w:rsidR="000A007F" w:rsidRPr="00184E30" w:rsidRDefault="000A007F" w:rsidP="000A007F">
            <w:pPr>
              <w:numPr>
                <w:ilvl w:val="0"/>
                <w:numId w:val="3"/>
              </w:numPr>
              <w:spacing w:before="40" w:after="40"/>
              <w:ind w:left="714" w:hanging="357"/>
              <w:rPr>
                <w:rFonts w:ascii="Arial" w:hAnsi="Arial" w:cs="Arial"/>
                <w:sz w:val="22"/>
                <w:szCs w:val="22"/>
              </w:rPr>
            </w:pPr>
            <w:r w:rsidRPr="00184E30">
              <w:rPr>
                <w:rFonts w:ascii="Arial" w:hAnsi="Arial" w:cs="Arial"/>
                <w:sz w:val="22"/>
                <w:szCs w:val="22"/>
              </w:rPr>
              <w:t>The annual budget</w:t>
            </w:r>
            <w:r w:rsidR="00BE41DE" w:rsidRPr="00184E30">
              <w:rPr>
                <w:rFonts w:ascii="Arial" w:hAnsi="Arial" w:cs="Arial"/>
                <w:sz w:val="22"/>
                <w:szCs w:val="22"/>
              </w:rPr>
              <w:t>;</w:t>
            </w:r>
          </w:p>
          <w:p w14:paraId="5AF9AB73" w14:textId="77777777" w:rsidR="000A007F" w:rsidRPr="00184E30" w:rsidRDefault="000A007F" w:rsidP="000A007F">
            <w:pPr>
              <w:numPr>
                <w:ilvl w:val="0"/>
                <w:numId w:val="3"/>
              </w:numPr>
              <w:spacing w:before="40" w:after="40"/>
              <w:ind w:left="714" w:hanging="357"/>
              <w:rPr>
                <w:rFonts w:ascii="Arial" w:hAnsi="Arial" w:cs="Arial"/>
                <w:sz w:val="22"/>
                <w:szCs w:val="22"/>
              </w:rPr>
            </w:pPr>
            <w:r w:rsidRPr="00184E30">
              <w:rPr>
                <w:rFonts w:ascii="Arial" w:hAnsi="Arial" w:cs="Arial"/>
                <w:sz w:val="22"/>
                <w:szCs w:val="22"/>
              </w:rPr>
              <w:t>Confirmed minutes of council and committee meetings;</w:t>
            </w:r>
          </w:p>
          <w:p w14:paraId="37333FEE" w14:textId="77777777" w:rsidR="000A007F" w:rsidRPr="00184E30" w:rsidRDefault="000A007F" w:rsidP="000A007F">
            <w:pPr>
              <w:numPr>
                <w:ilvl w:val="0"/>
                <w:numId w:val="3"/>
              </w:numPr>
              <w:spacing w:before="40" w:after="40"/>
              <w:ind w:left="714" w:hanging="357"/>
              <w:rPr>
                <w:rFonts w:ascii="Arial" w:hAnsi="Arial" w:cs="Arial"/>
                <w:sz w:val="22"/>
                <w:szCs w:val="22"/>
              </w:rPr>
            </w:pPr>
            <w:r w:rsidRPr="00184E30">
              <w:rPr>
                <w:rFonts w:ascii="Arial" w:hAnsi="Arial" w:cs="Arial"/>
                <w:sz w:val="22"/>
                <w:szCs w:val="22"/>
              </w:rPr>
              <w:t>Minutes of electors’ meetings;</w:t>
            </w:r>
          </w:p>
          <w:p w14:paraId="44286F8B" w14:textId="77777777" w:rsidR="000A007F" w:rsidRPr="00184E30" w:rsidRDefault="000A007F" w:rsidP="000A007F">
            <w:pPr>
              <w:numPr>
                <w:ilvl w:val="0"/>
                <w:numId w:val="3"/>
              </w:numPr>
              <w:spacing w:before="40" w:after="40"/>
              <w:ind w:left="714" w:hanging="357"/>
              <w:rPr>
                <w:rFonts w:ascii="Arial" w:eastAsia="Calibri" w:hAnsi="Arial" w:cs="Arial"/>
                <w:sz w:val="22"/>
                <w:szCs w:val="22"/>
              </w:rPr>
            </w:pPr>
            <w:r w:rsidRPr="00184E30">
              <w:rPr>
                <w:rFonts w:ascii="Arial" w:hAnsi="Arial" w:cs="Arial"/>
                <w:sz w:val="22"/>
                <w:szCs w:val="22"/>
              </w:rPr>
              <w:t>Notice papers, agendas, reports and other documents tabled or produced at council or committee meetings except where these were closed</w:t>
            </w:r>
            <w:r w:rsidRPr="00184E30">
              <w:rPr>
                <w:rFonts w:ascii="Arial" w:eastAsia="Calibri" w:hAnsi="Arial" w:cs="Arial"/>
                <w:sz w:val="22"/>
                <w:szCs w:val="22"/>
              </w:rPr>
              <w:t xml:space="preserve"> to the public; and </w:t>
            </w:r>
          </w:p>
          <w:p w14:paraId="0AEE6DD0" w14:textId="3731B5EE" w:rsidR="000A007F" w:rsidRPr="00184E30" w:rsidRDefault="000A007F" w:rsidP="00B61C8A">
            <w:pPr>
              <w:numPr>
                <w:ilvl w:val="0"/>
                <w:numId w:val="4"/>
              </w:numPr>
              <w:spacing w:before="40" w:after="120"/>
              <w:ind w:left="714" w:hanging="357"/>
              <w:rPr>
                <w:rFonts w:ascii="Arial" w:hAnsi="Arial" w:cs="Arial"/>
                <w:b/>
                <w:sz w:val="22"/>
                <w:szCs w:val="22"/>
              </w:rPr>
            </w:pPr>
            <w:r w:rsidRPr="00184E30">
              <w:rPr>
                <w:rFonts w:ascii="Arial" w:eastAsia="Calibri" w:hAnsi="Arial" w:cs="Arial"/>
                <w:sz w:val="22"/>
                <w:szCs w:val="22"/>
              </w:rPr>
              <w:t>The information listed in 29C above.</w:t>
            </w:r>
          </w:p>
        </w:tc>
      </w:tr>
      <w:tr w:rsidR="007F2577" w:rsidRPr="004C0107" w14:paraId="6D297324" w14:textId="77777777" w:rsidTr="00762DAE">
        <w:tc>
          <w:tcPr>
            <w:tcW w:w="1099" w:type="dxa"/>
          </w:tcPr>
          <w:p w14:paraId="4DC6C774" w14:textId="1F920704"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Reg 25</w:t>
            </w:r>
          </w:p>
        </w:tc>
        <w:tc>
          <w:tcPr>
            <w:tcW w:w="2157" w:type="dxa"/>
          </w:tcPr>
          <w:p w14:paraId="5DDE94B1"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34B</w:t>
            </w:r>
          </w:p>
        </w:tc>
        <w:tc>
          <w:tcPr>
            <w:tcW w:w="11056" w:type="dxa"/>
          </w:tcPr>
          <w:p w14:paraId="3EFB2530" w14:textId="48D4DD6C"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Regulation 34B sets out the gift provisions for employees. The amendment removes the CEO from the definition of an “</w:t>
            </w:r>
            <w:r w:rsidRPr="00184E30">
              <w:rPr>
                <w:rFonts w:ascii="Arial" w:hAnsi="Arial" w:cs="Arial"/>
                <w:i/>
                <w:sz w:val="22"/>
                <w:szCs w:val="22"/>
              </w:rPr>
              <w:t>employee</w:t>
            </w:r>
            <w:r w:rsidRPr="00184E30">
              <w:rPr>
                <w:rFonts w:ascii="Arial" w:hAnsi="Arial" w:cs="Arial"/>
                <w:sz w:val="22"/>
                <w:szCs w:val="22"/>
              </w:rPr>
              <w:t>”</w:t>
            </w:r>
            <w:r w:rsidR="005E4CCA">
              <w:rPr>
                <w:rFonts w:ascii="Arial" w:hAnsi="Arial" w:cs="Arial"/>
                <w:sz w:val="22"/>
                <w:szCs w:val="22"/>
              </w:rPr>
              <w:t xml:space="preserve"> as t</w:t>
            </w:r>
            <w:r w:rsidRPr="00184E30">
              <w:rPr>
                <w:rFonts w:ascii="Arial" w:hAnsi="Arial" w:cs="Arial"/>
                <w:sz w:val="22"/>
                <w:szCs w:val="22"/>
              </w:rPr>
              <w:t>he CEO is captured under the gift provisions contained in the Act.</w:t>
            </w:r>
          </w:p>
        </w:tc>
      </w:tr>
      <w:tr w:rsidR="007F2577" w:rsidRPr="004C0107" w14:paraId="136E2B27" w14:textId="77777777" w:rsidTr="00762DAE">
        <w:tc>
          <w:tcPr>
            <w:tcW w:w="1099" w:type="dxa"/>
          </w:tcPr>
          <w:p w14:paraId="6A331341" w14:textId="4023EDA9"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27</w:t>
            </w:r>
          </w:p>
        </w:tc>
        <w:tc>
          <w:tcPr>
            <w:tcW w:w="2157" w:type="dxa"/>
          </w:tcPr>
          <w:p w14:paraId="44768319" w14:textId="77777777" w:rsidR="007F2577" w:rsidRPr="00184E30" w:rsidRDefault="007F2577" w:rsidP="003D184C">
            <w:pPr>
              <w:spacing w:before="120" w:after="240" w:line="276" w:lineRule="auto"/>
              <w:rPr>
                <w:rFonts w:ascii="Arial" w:hAnsi="Arial"/>
                <w:sz w:val="22"/>
                <w:szCs w:val="22"/>
              </w:rPr>
            </w:pPr>
            <w:r w:rsidRPr="00184E30">
              <w:rPr>
                <w:rFonts w:ascii="Arial" w:hAnsi="Arial"/>
                <w:i/>
                <w:sz w:val="22"/>
                <w:szCs w:val="22"/>
              </w:rPr>
              <w:t>Local Government (Elections) Regulations 1997</w:t>
            </w:r>
            <w:r w:rsidRPr="00184E30">
              <w:rPr>
                <w:rFonts w:ascii="Arial" w:hAnsi="Arial"/>
                <w:sz w:val="22"/>
                <w:szCs w:val="22"/>
              </w:rPr>
              <w:t xml:space="preserve"> </w:t>
            </w:r>
            <w:r w:rsidRPr="00184E30">
              <w:rPr>
                <w:rFonts w:ascii="Arial" w:hAnsi="Arial"/>
                <w:sz w:val="22"/>
                <w:szCs w:val="22"/>
              </w:rPr>
              <w:br/>
              <w:t>Regulation 30G</w:t>
            </w:r>
          </w:p>
        </w:tc>
        <w:tc>
          <w:tcPr>
            <w:tcW w:w="11056" w:type="dxa"/>
          </w:tcPr>
          <w:p w14:paraId="119031CC"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Regulation 30G requires the CEO of a local government to establish and maintain an electoral gift register. The amendment requires the CEO to publish an up-to-date version of the electoral gift register on the local government’s official website.  Rather than the full address, only the town or suburb of an individual is to be published.</w:t>
            </w:r>
          </w:p>
        </w:tc>
      </w:tr>
      <w:tr w:rsidR="007F2577" w:rsidRPr="004C0107" w14:paraId="259CB565" w14:textId="77777777" w:rsidTr="00762DAE">
        <w:tc>
          <w:tcPr>
            <w:tcW w:w="1099" w:type="dxa"/>
          </w:tcPr>
          <w:p w14:paraId="047A3A28" w14:textId="3D6131A1"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28</w:t>
            </w:r>
          </w:p>
        </w:tc>
        <w:tc>
          <w:tcPr>
            <w:tcW w:w="2157" w:type="dxa"/>
          </w:tcPr>
          <w:p w14:paraId="6015D2D7" w14:textId="77777777" w:rsidR="007F2577" w:rsidRPr="00184E30" w:rsidRDefault="007F2577" w:rsidP="003D184C">
            <w:pPr>
              <w:spacing w:before="120" w:after="240" w:line="276" w:lineRule="auto"/>
              <w:rPr>
                <w:rFonts w:ascii="Arial" w:hAnsi="Arial"/>
                <w:b/>
                <w:sz w:val="22"/>
                <w:szCs w:val="22"/>
              </w:rPr>
            </w:pPr>
            <w:r w:rsidRPr="00184E30">
              <w:rPr>
                <w:rFonts w:ascii="Arial" w:hAnsi="Arial"/>
                <w:sz w:val="22"/>
                <w:szCs w:val="22"/>
              </w:rPr>
              <w:t>Regulation 30I</w:t>
            </w:r>
          </w:p>
        </w:tc>
        <w:tc>
          <w:tcPr>
            <w:tcW w:w="11056" w:type="dxa"/>
          </w:tcPr>
          <w:p w14:paraId="404678CB" w14:textId="37EB4604"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This</w:t>
            </w:r>
            <w:r w:rsidR="00227A51" w:rsidRPr="00184E30">
              <w:rPr>
                <w:rFonts w:ascii="Arial" w:hAnsi="Arial" w:cs="Arial"/>
                <w:sz w:val="22"/>
                <w:szCs w:val="22"/>
              </w:rPr>
              <w:t xml:space="preserve"> amendment</w:t>
            </w:r>
            <w:r w:rsidRPr="00184E30">
              <w:rPr>
                <w:rFonts w:ascii="Arial" w:hAnsi="Arial" w:cs="Arial"/>
                <w:sz w:val="22"/>
                <w:szCs w:val="22"/>
              </w:rPr>
              <w:t xml:space="preserve"> relates to electoral gift registers</w:t>
            </w:r>
            <w:r w:rsidR="00227A51" w:rsidRPr="00184E30">
              <w:rPr>
                <w:rFonts w:ascii="Arial" w:hAnsi="Arial" w:cs="Arial"/>
                <w:sz w:val="22"/>
                <w:szCs w:val="22"/>
              </w:rPr>
              <w:t xml:space="preserve"> - the definition of </w:t>
            </w:r>
            <w:r w:rsidR="00BF4337" w:rsidRPr="00184E30">
              <w:rPr>
                <w:rFonts w:ascii="Arial" w:hAnsi="Arial" w:cs="Arial"/>
                <w:sz w:val="22"/>
                <w:szCs w:val="22"/>
              </w:rPr>
              <w:t>‘</w:t>
            </w:r>
            <w:r w:rsidR="00227A51" w:rsidRPr="00184E30">
              <w:rPr>
                <w:rFonts w:ascii="Arial" w:hAnsi="Arial" w:cs="Arial"/>
                <w:sz w:val="22"/>
                <w:szCs w:val="22"/>
              </w:rPr>
              <w:t>publish</w:t>
            </w:r>
            <w:r w:rsidR="00BF4337" w:rsidRPr="00184E30">
              <w:rPr>
                <w:rFonts w:ascii="Arial" w:hAnsi="Arial" w:cs="Arial"/>
                <w:sz w:val="22"/>
                <w:szCs w:val="22"/>
              </w:rPr>
              <w:t>’</w:t>
            </w:r>
            <w:r w:rsidR="00227A51" w:rsidRPr="00184E30">
              <w:rPr>
                <w:rFonts w:ascii="Arial" w:hAnsi="Arial" w:cs="Arial"/>
                <w:sz w:val="22"/>
                <w:szCs w:val="22"/>
              </w:rPr>
              <w:t xml:space="preserve"> is being updated</w:t>
            </w:r>
            <w:r w:rsidR="00E76995" w:rsidRPr="00184E30">
              <w:rPr>
                <w:rFonts w:ascii="Arial" w:hAnsi="Arial" w:cs="Arial"/>
                <w:sz w:val="22"/>
                <w:szCs w:val="22"/>
              </w:rPr>
              <w:t xml:space="preserve"> to reflect </w:t>
            </w:r>
            <w:r w:rsidR="00474A50" w:rsidRPr="00184E30">
              <w:rPr>
                <w:rFonts w:ascii="Arial" w:hAnsi="Arial" w:cs="Arial"/>
                <w:sz w:val="22"/>
                <w:szCs w:val="22"/>
              </w:rPr>
              <w:t xml:space="preserve">the amended definition in </w:t>
            </w:r>
            <w:r w:rsidR="0033093A" w:rsidRPr="00184E30">
              <w:rPr>
                <w:rFonts w:ascii="Arial" w:hAnsi="Arial" w:cs="Arial"/>
                <w:sz w:val="22"/>
                <w:szCs w:val="22"/>
              </w:rPr>
              <w:t>Local Government Act.</w:t>
            </w:r>
            <w:r w:rsidR="00227A51" w:rsidRPr="00184E30">
              <w:rPr>
                <w:rFonts w:ascii="Arial" w:hAnsi="Arial" w:cs="Arial"/>
                <w:sz w:val="22"/>
                <w:szCs w:val="22"/>
              </w:rPr>
              <w:t xml:space="preserve">  </w:t>
            </w:r>
          </w:p>
        </w:tc>
      </w:tr>
      <w:tr w:rsidR="007F2577" w:rsidRPr="004C0107" w14:paraId="0F856CE0" w14:textId="77777777" w:rsidTr="00762DAE">
        <w:tc>
          <w:tcPr>
            <w:tcW w:w="1099" w:type="dxa"/>
          </w:tcPr>
          <w:p w14:paraId="07E7A256" w14:textId="54B9C108"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Reg 29</w:t>
            </w:r>
          </w:p>
        </w:tc>
        <w:tc>
          <w:tcPr>
            <w:tcW w:w="2157" w:type="dxa"/>
          </w:tcPr>
          <w:p w14:paraId="5C4B6B06"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43</w:t>
            </w:r>
          </w:p>
        </w:tc>
        <w:tc>
          <w:tcPr>
            <w:tcW w:w="11056" w:type="dxa"/>
          </w:tcPr>
          <w:p w14:paraId="54559E58"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A minor amendment is being made to regulation 43(</w:t>
            </w:r>
            <w:proofErr w:type="gramStart"/>
            <w:r w:rsidRPr="00184E30">
              <w:rPr>
                <w:rFonts w:ascii="Arial" w:hAnsi="Arial" w:cs="Arial"/>
                <w:sz w:val="22"/>
                <w:szCs w:val="22"/>
              </w:rPr>
              <w:t>1)(</w:t>
            </w:r>
            <w:proofErr w:type="spellStart"/>
            <w:proofErr w:type="gramEnd"/>
            <w:r w:rsidRPr="00184E30">
              <w:rPr>
                <w:rFonts w:ascii="Arial" w:hAnsi="Arial" w:cs="Arial"/>
                <w:sz w:val="22"/>
                <w:szCs w:val="22"/>
              </w:rPr>
              <w:t>ba</w:t>
            </w:r>
            <w:proofErr w:type="spellEnd"/>
            <w:r w:rsidRPr="00184E30">
              <w:rPr>
                <w:rFonts w:ascii="Arial" w:hAnsi="Arial" w:cs="Arial"/>
                <w:sz w:val="22"/>
                <w:szCs w:val="22"/>
              </w:rPr>
              <w:t>) to correct the reference to electoral gift register.</w:t>
            </w:r>
          </w:p>
        </w:tc>
      </w:tr>
      <w:tr w:rsidR="007F2577" w:rsidRPr="004C0107" w14:paraId="7C67C237" w14:textId="77777777" w:rsidTr="00762DAE">
        <w:tc>
          <w:tcPr>
            <w:tcW w:w="1099" w:type="dxa"/>
          </w:tcPr>
          <w:p w14:paraId="0CAE9276" w14:textId="752F3E0C"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30</w:t>
            </w:r>
          </w:p>
        </w:tc>
        <w:tc>
          <w:tcPr>
            <w:tcW w:w="2157" w:type="dxa"/>
          </w:tcPr>
          <w:p w14:paraId="20357E7A" w14:textId="77777777" w:rsidR="007F2577" w:rsidRPr="00184E30" w:rsidRDefault="007F2577" w:rsidP="003D184C">
            <w:pPr>
              <w:spacing w:before="120" w:after="240" w:line="276" w:lineRule="auto"/>
              <w:rPr>
                <w:rFonts w:ascii="Arial" w:hAnsi="Arial"/>
                <w:b/>
                <w:sz w:val="22"/>
                <w:szCs w:val="22"/>
              </w:rPr>
            </w:pPr>
            <w:r w:rsidRPr="00184E30">
              <w:rPr>
                <w:rFonts w:ascii="Arial" w:hAnsi="Arial"/>
                <w:sz w:val="22"/>
                <w:szCs w:val="22"/>
              </w:rPr>
              <w:t>Regulation 73</w:t>
            </w:r>
          </w:p>
        </w:tc>
        <w:tc>
          <w:tcPr>
            <w:tcW w:w="11056" w:type="dxa"/>
          </w:tcPr>
          <w:p w14:paraId="3F41DE58" w14:textId="3977185B"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73 deals with the adjournment or postponement of a poll. The changes require that the notice of adjournment or postponement is to be published on the local government’s official website for at least </w:t>
            </w:r>
            <w:r w:rsidR="008D7CE9">
              <w:rPr>
                <w:rFonts w:ascii="Arial" w:hAnsi="Arial" w:cs="Arial"/>
                <w:sz w:val="22"/>
                <w:szCs w:val="22"/>
              </w:rPr>
              <w:t>three</w:t>
            </w:r>
            <w:r w:rsidRPr="00184E30">
              <w:rPr>
                <w:rFonts w:ascii="Arial" w:hAnsi="Arial" w:cs="Arial"/>
                <w:sz w:val="22"/>
                <w:szCs w:val="22"/>
              </w:rPr>
              <w:t xml:space="preserve"> days.  If the local public notice is published on another (government) website, a notice board or using social media, it must also be posted for at least </w:t>
            </w:r>
            <w:r w:rsidR="008D7CE9">
              <w:rPr>
                <w:rFonts w:ascii="Arial" w:hAnsi="Arial" w:cs="Arial"/>
                <w:sz w:val="22"/>
                <w:szCs w:val="22"/>
              </w:rPr>
              <w:t>three</w:t>
            </w:r>
            <w:r w:rsidRPr="00184E30">
              <w:rPr>
                <w:rFonts w:ascii="Arial" w:hAnsi="Arial" w:cs="Arial"/>
                <w:sz w:val="22"/>
                <w:szCs w:val="22"/>
              </w:rPr>
              <w:t xml:space="preserve"> days. </w:t>
            </w:r>
          </w:p>
        </w:tc>
      </w:tr>
      <w:tr w:rsidR="007F2577" w:rsidRPr="004C0107" w14:paraId="382EE9E3" w14:textId="77777777" w:rsidTr="00762DAE">
        <w:tc>
          <w:tcPr>
            <w:tcW w:w="1099" w:type="dxa"/>
          </w:tcPr>
          <w:p w14:paraId="3392B004" w14:textId="306C5303"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32</w:t>
            </w:r>
          </w:p>
        </w:tc>
        <w:tc>
          <w:tcPr>
            <w:tcW w:w="2157" w:type="dxa"/>
          </w:tcPr>
          <w:p w14:paraId="1D7762FF" w14:textId="77777777" w:rsidR="007F2577" w:rsidRPr="00184E30" w:rsidRDefault="007F2577" w:rsidP="003D184C">
            <w:pPr>
              <w:spacing w:before="120" w:after="240" w:line="276" w:lineRule="auto"/>
              <w:rPr>
                <w:rFonts w:ascii="Arial" w:hAnsi="Arial"/>
                <w:b/>
                <w:sz w:val="22"/>
                <w:szCs w:val="22"/>
              </w:rPr>
            </w:pPr>
            <w:r w:rsidRPr="00184E30">
              <w:rPr>
                <w:rFonts w:ascii="Arial" w:hAnsi="Arial"/>
                <w:i/>
                <w:sz w:val="22"/>
                <w:szCs w:val="22"/>
              </w:rPr>
              <w:t>Local Government (Financial Management) Regulations 1996</w:t>
            </w:r>
            <w:r w:rsidRPr="00184E30">
              <w:rPr>
                <w:rFonts w:ascii="Arial" w:hAnsi="Arial"/>
                <w:sz w:val="22"/>
                <w:szCs w:val="22"/>
              </w:rPr>
              <w:br/>
              <w:t>Regulation 27</w:t>
            </w:r>
          </w:p>
        </w:tc>
        <w:tc>
          <w:tcPr>
            <w:tcW w:w="11056" w:type="dxa"/>
          </w:tcPr>
          <w:p w14:paraId="081D8670"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27 sets out a list of notes to be included with the annual budget of a local government. Point (l) is being amended to clarify that itemised information in relation to the fees, expenses and allowances paid to each council member and mayor or president is required. </w:t>
            </w:r>
          </w:p>
        </w:tc>
      </w:tr>
      <w:tr w:rsidR="007F2577" w:rsidRPr="004C0107" w14:paraId="7EFA5FD1" w14:textId="77777777" w:rsidTr="00762DAE">
        <w:tc>
          <w:tcPr>
            <w:tcW w:w="1099" w:type="dxa"/>
          </w:tcPr>
          <w:p w14:paraId="7ACF89D2" w14:textId="46B96F49"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33</w:t>
            </w:r>
          </w:p>
        </w:tc>
        <w:tc>
          <w:tcPr>
            <w:tcW w:w="2157" w:type="dxa"/>
          </w:tcPr>
          <w:p w14:paraId="06E72DC3"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44</w:t>
            </w:r>
          </w:p>
        </w:tc>
        <w:tc>
          <w:tcPr>
            <w:tcW w:w="11056" w:type="dxa"/>
          </w:tcPr>
          <w:p w14:paraId="6DD337AD"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Regulation 44 requires information about fees, expenses and allowances paid to council members, the mayor or the president to be included in the annual financial report. The amendment provides clarity that itemised information is required for each council member and mayor or president, rather than total figures.</w:t>
            </w:r>
          </w:p>
        </w:tc>
      </w:tr>
      <w:tr w:rsidR="007F2577" w:rsidRPr="004C0107" w14:paraId="35E7512F" w14:textId="77777777" w:rsidTr="00762DAE">
        <w:tc>
          <w:tcPr>
            <w:tcW w:w="1099" w:type="dxa"/>
          </w:tcPr>
          <w:p w14:paraId="663ACBC3" w14:textId="52EF0B26"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35</w:t>
            </w:r>
          </w:p>
        </w:tc>
        <w:tc>
          <w:tcPr>
            <w:tcW w:w="2157" w:type="dxa"/>
          </w:tcPr>
          <w:p w14:paraId="78A7D4F9" w14:textId="77777777" w:rsidR="007F2577" w:rsidRPr="00184E30" w:rsidRDefault="007F2577" w:rsidP="003D184C">
            <w:pPr>
              <w:spacing w:before="120" w:after="240" w:line="276" w:lineRule="auto"/>
              <w:rPr>
                <w:rFonts w:ascii="Arial" w:hAnsi="Arial"/>
                <w:sz w:val="22"/>
                <w:szCs w:val="22"/>
              </w:rPr>
            </w:pPr>
            <w:r w:rsidRPr="00184E30">
              <w:rPr>
                <w:rFonts w:ascii="Arial" w:hAnsi="Arial"/>
                <w:i/>
                <w:sz w:val="22"/>
                <w:szCs w:val="22"/>
              </w:rPr>
              <w:t>Local Government (Functions and General) Regulations 1996</w:t>
            </w:r>
            <w:r w:rsidRPr="00184E30">
              <w:rPr>
                <w:rFonts w:ascii="Arial" w:hAnsi="Arial"/>
                <w:sz w:val="22"/>
                <w:szCs w:val="22"/>
              </w:rPr>
              <w:t xml:space="preserve"> </w:t>
            </w:r>
            <w:r w:rsidRPr="00184E30">
              <w:rPr>
                <w:rFonts w:ascii="Arial" w:hAnsi="Arial"/>
                <w:sz w:val="22"/>
                <w:szCs w:val="22"/>
              </w:rPr>
              <w:br/>
              <w:t>Regulation 15</w:t>
            </w:r>
          </w:p>
        </w:tc>
        <w:tc>
          <w:tcPr>
            <w:tcW w:w="11056" w:type="dxa"/>
          </w:tcPr>
          <w:p w14:paraId="5D8D2B27" w14:textId="1BDC5BC0" w:rsidR="007A682D" w:rsidRPr="00184E30" w:rsidRDefault="007A682D" w:rsidP="007A682D">
            <w:pPr>
              <w:spacing w:before="120" w:after="120" w:line="276" w:lineRule="auto"/>
              <w:rPr>
                <w:rFonts w:ascii="Arial" w:hAnsi="Arial" w:cs="Arial"/>
                <w:sz w:val="22"/>
                <w:szCs w:val="22"/>
              </w:rPr>
            </w:pPr>
            <w:r w:rsidRPr="00184E30">
              <w:rPr>
                <w:rFonts w:ascii="Arial" w:hAnsi="Arial" w:cs="Arial"/>
                <w:sz w:val="22"/>
                <w:szCs w:val="22"/>
              </w:rPr>
              <w:t xml:space="preserve">Regulation 15 deals with the minimum time public tenders are required to be open. The amendment specifies that the closing date for submission of tenders will be at least 14 days after notice is published on the local government’s official website and in the </w:t>
            </w:r>
            <w:r w:rsidR="008D7CE9">
              <w:rPr>
                <w:rFonts w:ascii="Arial" w:hAnsi="Arial" w:cs="Arial"/>
                <w:sz w:val="22"/>
                <w:szCs w:val="22"/>
              </w:rPr>
              <w:t>three</w:t>
            </w:r>
            <w:r w:rsidRPr="00184E30">
              <w:rPr>
                <w:rFonts w:ascii="Arial" w:hAnsi="Arial" w:cs="Arial"/>
                <w:sz w:val="22"/>
                <w:szCs w:val="22"/>
              </w:rPr>
              <w:t xml:space="preserve"> other ways it is advertised under the public notice provisions.  The 14-day notice period starts from the date of the last publication.</w:t>
            </w:r>
          </w:p>
          <w:p w14:paraId="4251D7D5" w14:textId="0BBD5E33" w:rsidR="007F2577" w:rsidRPr="00184E30" w:rsidRDefault="007A682D" w:rsidP="007A682D">
            <w:pPr>
              <w:spacing w:before="120" w:after="120" w:line="276" w:lineRule="auto"/>
              <w:rPr>
                <w:rFonts w:ascii="Arial" w:hAnsi="Arial" w:cs="Arial"/>
                <w:sz w:val="22"/>
                <w:szCs w:val="22"/>
              </w:rPr>
            </w:pPr>
            <w:r w:rsidRPr="00184E30">
              <w:rPr>
                <w:rFonts w:ascii="Arial" w:hAnsi="Arial" w:cs="Arial"/>
                <w:sz w:val="22"/>
                <w:szCs w:val="22"/>
              </w:rPr>
              <w:t>If a list of acceptable tenderers is being invited to submit tenders, the 14 days commences from the date notice was given to the last potential tenderer.</w:t>
            </w:r>
          </w:p>
        </w:tc>
      </w:tr>
      <w:tr w:rsidR="007F2577" w:rsidRPr="004C0107" w14:paraId="45837293" w14:textId="77777777" w:rsidTr="00762DAE">
        <w:tc>
          <w:tcPr>
            <w:tcW w:w="1099" w:type="dxa"/>
          </w:tcPr>
          <w:p w14:paraId="06225224" w14:textId="4035BCF3"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w:t>
            </w:r>
            <w:r w:rsidR="007A682D" w:rsidRPr="00184E30">
              <w:rPr>
                <w:rFonts w:ascii="Arial" w:hAnsi="Arial"/>
                <w:sz w:val="22"/>
                <w:szCs w:val="22"/>
              </w:rPr>
              <w:t xml:space="preserve"> </w:t>
            </w:r>
            <w:r w:rsidRPr="00184E30">
              <w:rPr>
                <w:rFonts w:ascii="Arial" w:hAnsi="Arial"/>
                <w:sz w:val="22"/>
                <w:szCs w:val="22"/>
              </w:rPr>
              <w:t>36</w:t>
            </w:r>
          </w:p>
        </w:tc>
        <w:tc>
          <w:tcPr>
            <w:tcW w:w="2157" w:type="dxa"/>
          </w:tcPr>
          <w:p w14:paraId="6DB5EF4A"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17</w:t>
            </w:r>
          </w:p>
        </w:tc>
        <w:tc>
          <w:tcPr>
            <w:tcW w:w="11056" w:type="dxa"/>
          </w:tcPr>
          <w:p w14:paraId="30DF2A68" w14:textId="77777777" w:rsidR="007A682D" w:rsidRPr="00184E30" w:rsidRDefault="007A682D" w:rsidP="007A682D">
            <w:pPr>
              <w:spacing w:before="120" w:after="120" w:line="276" w:lineRule="auto"/>
              <w:rPr>
                <w:rFonts w:ascii="Arial" w:hAnsi="Arial" w:cs="Arial"/>
                <w:sz w:val="22"/>
                <w:szCs w:val="22"/>
              </w:rPr>
            </w:pPr>
            <w:r w:rsidRPr="00184E30">
              <w:rPr>
                <w:rFonts w:ascii="Arial" w:hAnsi="Arial" w:cs="Arial"/>
                <w:sz w:val="22"/>
                <w:szCs w:val="22"/>
              </w:rPr>
              <w:t xml:space="preserve">Regulation 17 provides for a </w:t>
            </w:r>
            <w:proofErr w:type="gramStart"/>
            <w:r w:rsidRPr="00184E30">
              <w:rPr>
                <w:rFonts w:ascii="Arial" w:hAnsi="Arial" w:cs="Arial"/>
                <w:sz w:val="22"/>
                <w:szCs w:val="22"/>
              </w:rPr>
              <w:t>tenders</w:t>
            </w:r>
            <w:proofErr w:type="gramEnd"/>
            <w:r w:rsidRPr="00184E30">
              <w:rPr>
                <w:rFonts w:ascii="Arial" w:hAnsi="Arial" w:cs="Arial"/>
                <w:sz w:val="22"/>
                <w:szCs w:val="22"/>
              </w:rPr>
              <w:t xml:space="preserve"> register to be kept by the CEO of a local government and for this to be available for public inspection. The CEO will now be required to also publish the tenders register on the local government’s official website. There is no change to content of the tenders register.</w:t>
            </w:r>
          </w:p>
          <w:p w14:paraId="77A9DD45" w14:textId="6B923370" w:rsidR="004D4BE8" w:rsidRPr="00184E30" w:rsidRDefault="007A682D" w:rsidP="007A682D">
            <w:pPr>
              <w:spacing w:before="120" w:after="120" w:line="276" w:lineRule="auto"/>
              <w:rPr>
                <w:rFonts w:ascii="Arial" w:hAnsi="Arial" w:cs="Arial"/>
                <w:sz w:val="22"/>
                <w:szCs w:val="22"/>
              </w:rPr>
            </w:pPr>
            <w:r w:rsidRPr="00184E30">
              <w:rPr>
                <w:rFonts w:ascii="Arial" w:hAnsi="Arial" w:cs="Arial"/>
                <w:sz w:val="22"/>
                <w:szCs w:val="22"/>
              </w:rPr>
              <w:t>There is no prescribed ti</w:t>
            </w:r>
            <w:r w:rsidRPr="00053C54">
              <w:rPr>
                <w:rFonts w:ascii="Arial" w:hAnsi="Arial" w:cs="Arial"/>
                <w:sz w:val="22"/>
                <w:szCs w:val="22"/>
              </w:rPr>
              <w:t xml:space="preserve">meframe for this to occur, but the practice of complying as soon as practicable </w:t>
            </w:r>
            <w:r w:rsidR="006F19FE" w:rsidRPr="00053C54">
              <w:rPr>
                <w:rFonts w:ascii="Arial" w:hAnsi="Arial" w:cs="Arial"/>
                <w:sz w:val="22"/>
                <w:szCs w:val="22"/>
              </w:rPr>
              <w:t>is to</w:t>
            </w:r>
            <w:r w:rsidRPr="00053C54">
              <w:rPr>
                <w:rFonts w:ascii="Arial" w:hAnsi="Arial" w:cs="Arial"/>
                <w:sz w:val="22"/>
                <w:szCs w:val="22"/>
              </w:rPr>
              <w:t xml:space="preserve"> be observed</w:t>
            </w:r>
            <w:r w:rsidR="008C1931" w:rsidRPr="00053C54">
              <w:rPr>
                <w:rFonts w:ascii="Arial" w:hAnsi="Arial" w:cs="Arial"/>
                <w:sz w:val="22"/>
                <w:szCs w:val="22"/>
              </w:rPr>
              <w:t xml:space="preserve"> in accordance with </w:t>
            </w:r>
            <w:r w:rsidR="00AF323B" w:rsidRPr="00053C54">
              <w:rPr>
                <w:rFonts w:ascii="Arial" w:hAnsi="Arial" w:cs="Arial"/>
                <w:sz w:val="22"/>
                <w:szCs w:val="22"/>
              </w:rPr>
              <w:t xml:space="preserve">section </w:t>
            </w:r>
            <w:r w:rsidR="004D4BE8" w:rsidRPr="00053C54">
              <w:rPr>
                <w:rFonts w:ascii="Arial" w:hAnsi="Arial" w:cs="Arial"/>
                <w:sz w:val="22"/>
                <w:szCs w:val="22"/>
              </w:rPr>
              <w:t xml:space="preserve">63 of the </w:t>
            </w:r>
            <w:hyperlink r:id="rId14" w:history="1">
              <w:r w:rsidR="004D4BE8" w:rsidRPr="00053C54">
                <w:rPr>
                  <w:rStyle w:val="Hyperlink"/>
                  <w:rFonts w:ascii="Arial" w:eastAsiaTheme="minorHAnsi" w:hAnsi="Arial" w:cs="Arial"/>
                  <w:i/>
                  <w:iCs/>
                  <w:sz w:val="22"/>
                  <w:szCs w:val="22"/>
                  <w:lang w:eastAsia="en-US"/>
                </w:rPr>
                <w:t>Interpretation Act 1984</w:t>
              </w:r>
            </w:hyperlink>
            <w:r w:rsidR="00A9417C" w:rsidRPr="00053C54">
              <w:rPr>
                <w:rFonts w:ascii="Arial" w:hAnsi="Arial" w:cs="Arial"/>
                <w:i/>
                <w:iCs/>
                <w:sz w:val="22"/>
                <w:szCs w:val="22"/>
              </w:rPr>
              <w:t xml:space="preserve"> </w:t>
            </w:r>
            <w:r w:rsidR="00A9417C" w:rsidRPr="00053C54">
              <w:rPr>
                <w:rFonts w:ascii="Arial" w:hAnsi="Arial" w:cs="Arial"/>
                <w:sz w:val="22"/>
                <w:szCs w:val="22"/>
              </w:rPr>
              <w:t xml:space="preserve">(available at </w:t>
            </w:r>
            <w:hyperlink r:id="rId15" w:history="1">
              <w:r w:rsidR="00A9417C" w:rsidRPr="00053C54">
                <w:rPr>
                  <w:rStyle w:val="Hyperlink"/>
                  <w:rFonts w:ascii="Arial" w:hAnsi="Arial" w:cs="Arial"/>
                  <w:sz w:val="22"/>
                  <w:szCs w:val="22"/>
                </w:rPr>
                <w:t>www.legislation.wa.gov.au</w:t>
              </w:r>
            </w:hyperlink>
            <w:r w:rsidR="00A9417C" w:rsidRPr="00053C54">
              <w:rPr>
                <w:rFonts w:ascii="Arial" w:hAnsi="Arial" w:cs="Arial"/>
                <w:sz w:val="22"/>
                <w:szCs w:val="22"/>
              </w:rPr>
              <w:t>).</w:t>
            </w:r>
            <w:r w:rsidR="004D4BE8" w:rsidRPr="00053C54">
              <w:rPr>
                <w:rFonts w:ascii="Arial" w:hAnsi="Arial" w:cs="Arial"/>
                <w:i/>
                <w:sz w:val="22"/>
                <w:szCs w:val="22"/>
              </w:rPr>
              <w:t xml:space="preserve"> </w:t>
            </w:r>
          </w:p>
        </w:tc>
      </w:tr>
      <w:tr w:rsidR="007F2577" w:rsidRPr="004C0107" w14:paraId="63B6ACE9" w14:textId="77777777" w:rsidTr="00762DAE">
        <w:tc>
          <w:tcPr>
            <w:tcW w:w="1099" w:type="dxa"/>
          </w:tcPr>
          <w:p w14:paraId="5ECF4159" w14:textId="030D02AE"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lastRenderedPageBreak/>
              <w:t>Reg 37</w:t>
            </w:r>
          </w:p>
        </w:tc>
        <w:tc>
          <w:tcPr>
            <w:tcW w:w="2157" w:type="dxa"/>
          </w:tcPr>
          <w:p w14:paraId="500AEC44"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22</w:t>
            </w:r>
          </w:p>
        </w:tc>
        <w:tc>
          <w:tcPr>
            <w:tcW w:w="11056" w:type="dxa"/>
          </w:tcPr>
          <w:p w14:paraId="4E16CCFC" w14:textId="60C6EDA2"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22 sets out the minimum time that must be provided for submitting an expression of interest to quote for a contract to supply goods or services to a local government.  The 14 days will start from the last </w:t>
            </w:r>
            <w:r w:rsidR="00693FB0" w:rsidRPr="00184E30">
              <w:rPr>
                <w:rFonts w:ascii="Arial" w:hAnsi="Arial" w:cs="Arial"/>
                <w:sz w:val="22"/>
                <w:szCs w:val="22"/>
              </w:rPr>
              <w:t xml:space="preserve">date </w:t>
            </w:r>
            <w:r w:rsidRPr="00184E30">
              <w:rPr>
                <w:rFonts w:ascii="Arial" w:hAnsi="Arial" w:cs="Arial"/>
                <w:sz w:val="22"/>
                <w:szCs w:val="22"/>
              </w:rPr>
              <w:t xml:space="preserve">of publication on the local government’s official website or any of the other </w:t>
            </w:r>
            <w:r w:rsidR="008D7CE9">
              <w:rPr>
                <w:rFonts w:ascii="Arial" w:hAnsi="Arial" w:cs="Arial"/>
                <w:sz w:val="22"/>
                <w:szCs w:val="22"/>
              </w:rPr>
              <w:t>three</w:t>
            </w:r>
            <w:r w:rsidRPr="00184E30">
              <w:rPr>
                <w:rFonts w:ascii="Arial" w:hAnsi="Arial" w:cs="Arial"/>
                <w:sz w:val="22"/>
                <w:szCs w:val="22"/>
              </w:rPr>
              <w:t xml:space="preserve"> ways notice must be given.</w:t>
            </w:r>
          </w:p>
        </w:tc>
      </w:tr>
      <w:tr w:rsidR="007F2577" w:rsidRPr="004C0107" w14:paraId="05CF8BAA" w14:textId="77777777" w:rsidTr="00762DAE">
        <w:tc>
          <w:tcPr>
            <w:tcW w:w="1099" w:type="dxa"/>
          </w:tcPr>
          <w:p w14:paraId="721451B7" w14:textId="252C8D20"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38</w:t>
            </w:r>
          </w:p>
        </w:tc>
        <w:tc>
          <w:tcPr>
            <w:tcW w:w="2157" w:type="dxa"/>
          </w:tcPr>
          <w:p w14:paraId="108FC8FA"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24AE</w:t>
            </w:r>
          </w:p>
        </w:tc>
        <w:tc>
          <w:tcPr>
            <w:tcW w:w="11056" w:type="dxa"/>
          </w:tcPr>
          <w:p w14:paraId="771DDD15" w14:textId="276C8873"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24AE sets the minimum time to be allowed for </w:t>
            </w:r>
            <w:proofErr w:type="gramStart"/>
            <w:r w:rsidRPr="00184E30">
              <w:rPr>
                <w:rFonts w:ascii="Arial" w:hAnsi="Arial" w:cs="Arial"/>
                <w:sz w:val="22"/>
                <w:szCs w:val="22"/>
              </w:rPr>
              <w:t>submitting an application</w:t>
            </w:r>
            <w:proofErr w:type="gramEnd"/>
            <w:r w:rsidRPr="00184E30">
              <w:rPr>
                <w:rFonts w:ascii="Arial" w:hAnsi="Arial" w:cs="Arial"/>
                <w:sz w:val="22"/>
                <w:szCs w:val="22"/>
              </w:rPr>
              <w:t xml:space="preserve"> to join a panel of pre-qualified suppliers of particular goods or services. The 14 days will start from the last </w:t>
            </w:r>
            <w:r w:rsidR="00693FB0" w:rsidRPr="00184E30">
              <w:rPr>
                <w:rFonts w:ascii="Arial" w:hAnsi="Arial" w:cs="Arial"/>
                <w:sz w:val="22"/>
                <w:szCs w:val="22"/>
              </w:rPr>
              <w:t xml:space="preserve">date </w:t>
            </w:r>
            <w:r w:rsidRPr="00184E30">
              <w:rPr>
                <w:rFonts w:ascii="Arial" w:hAnsi="Arial" w:cs="Arial"/>
                <w:sz w:val="22"/>
                <w:szCs w:val="22"/>
              </w:rPr>
              <w:t xml:space="preserve">of publication on the local government’s official website or any of the other </w:t>
            </w:r>
            <w:r w:rsidR="008D7CE9">
              <w:rPr>
                <w:rFonts w:ascii="Arial" w:hAnsi="Arial" w:cs="Arial"/>
                <w:sz w:val="22"/>
                <w:szCs w:val="22"/>
              </w:rPr>
              <w:t>three</w:t>
            </w:r>
            <w:r w:rsidRPr="00184E30">
              <w:rPr>
                <w:rFonts w:ascii="Arial" w:hAnsi="Arial" w:cs="Arial"/>
                <w:sz w:val="22"/>
                <w:szCs w:val="22"/>
              </w:rPr>
              <w:t xml:space="preserve"> ways notice must be given.</w:t>
            </w:r>
          </w:p>
        </w:tc>
      </w:tr>
      <w:tr w:rsidR="007F2577" w:rsidRPr="004C0107" w14:paraId="03BBBCD0" w14:textId="77777777" w:rsidTr="00762DAE">
        <w:tc>
          <w:tcPr>
            <w:tcW w:w="1099" w:type="dxa"/>
          </w:tcPr>
          <w:p w14:paraId="062DB84D" w14:textId="392EDC25"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39</w:t>
            </w:r>
          </w:p>
        </w:tc>
        <w:tc>
          <w:tcPr>
            <w:tcW w:w="2157" w:type="dxa"/>
          </w:tcPr>
          <w:p w14:paraId="230416A6"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24E</w:t>
            </w:r>
          </w:p>
        </w:tc>
        <w:tc>
          <w:tcPr>
            <w:tcW w:w="11056" w:type="dxa"/>
          </w:tcPr>
          <w:p w14:paraId="6EE5AC61"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24E deals with regional price preference policies.   The amendment will require the proposed regional price preference policy to be published on the local government’s official website.  </w:t>
            </w:r>
          </w:p>
        </w:tc>
      </w:tr>
      <w:tr w:rsidR="007F2577" w:rsidRPr="004C0107" w14:paraId="0E0BE03E" w14:textId="77777777" w:rsidTr="00762DAE">
        <w:tc>
          <w:tcPr>
            <w:tcW w:w="1099" w:type="dxa"/>
          </w:tcPr>
          <w:p w14:paraId="54472CFC" w14:textId="55C047EA"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40</w:t>
            </w:r>
          </w:p>
        </w:tc>
        <w:tc>
          <w:tcPr>
            <w:tcW w:w="2157" w:type="dxa"/>
          </w:tcPr>
          <w:p w14:paraId="4995ACF1"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24F</w:t>
            </w:r>
          </w:p>
        </w:tc>
        <w:tc>
          <w:tcPr>
            <w:tcW w:w="11056" w:type="dxa"/>
          </w:tcPr>
          <w:p w14:paraId="0E187AE3" w14:textId="77777777"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24F deals with the adoption of a regional price preference policy. The amendment will require the local government to publish a copy of the adopted policy on their official website. </w:t>
            </w:r>
          </w:p>
        </w:tc>
      </w:tr>
      <w:tr w:rsidR="007F2577" w:rsidRPr="004C0107" w14:paraId="331347E7" w14:textId="77777777" w:rsidTr="00762DAE">
        <w:tc>
          <w:tcPr>
            <w:tcW w:w="1099" w:type="dxa"/>
          </w:tcPr>
          <w:p w14:paraId="78A65B39" w14:textId="4C93B8FE"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41</w:t>
            </w:r>
          </w:p>
        </w:tc>
        <w:tc>
          <w:tcPr>
            <w:tcW w:w="2157" w:type="dxa"/>
          </w:tcPr>
          <w:p w14:paraId="21069C76" w14:textId="77777777"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Regulation 30</w:t>
            </w:r>
          </w:p>
        </w:tc>
        <w:tc>
          <w:tcPr>
            <w:tcW w:w="11056" w:type="dxa"/>
          </w:tcPr>
          <w:p w14:paraId="15AD0CFF" w14:textId="543B875B" w:rsidR="007F2577" w:rsidRPr="00184E30" w:rsidRDefault="007F2577" w:rsidP="003D184C">
            <w:pPr>
              <w:spacing w:before="120" w:after="120" w:line="276" w:lineRule="auto"/>
              <w:rPr>
                <w:rFonts w:ascii="Arial" w:hAnsi="Arial" w:cs="Arial"/>
                <w:sz w:val="22"/>
                <w:szCs w:val="22"/>
              </w:rPr>
            </w:pPr>
            <w:r w:rsidRPr="00184E30">
              <w:rPr>
                <w:rFonts w:ascii="Arial" w:hAnsi="Arial" w:cs="Arial"/>
                <w:sz w:val="22"/>
                <w:szCs w:val="22"/>
              </w:rPr>
              <w:t xml:space="preserve">Regulation 30 deals with disposal of property (including land) that is excluded from the application of section 3.58 ‘Disposing of property’ in the </w:t>
            </w:r>
            <w:r w:rsidRPr="00184E30">
              <w:rPr>
                <w:rFonts w:ascii="Arial" w:hAnsi="Arial" w:cs="Arial"/>
                <w:i/>
                <w:sz w:val="22"/>
                <w:szCs w:val="22"/>
              </w:rPr>
              <w:t>Local Government Act 1995</w:t>
            </w:r>
            <w:r w:rsidRPr="00184E30">
              <w:rPr>
                <w:rFonts w:ascii="Arial" w:hAnsi="Arial" w:cs="Arial"/>
                <w:sz w:val="22"/>
                <w:szCs w:val="22"/>
              </w:rPr>
              <w:t xml:space="preserve">. Regulation 30(2a) deals with a disposition of property that is an exempt disposition because it has been disposed of within </w:t>
            </w:r>
            <w:r w:rsidR="008D7CE9">
              <w:rPr>
                <w:rFonts w:ascii="Arial" w:hAnsi="Arial" w:cs="Arial"/>
                <w:sz w:val="22"/>
                <w:szCs w:val="22"/>
              </w:rPr>
              <w:t>six</w:t>
            </w:r>
            <w:r w:rsidRPr="00184E30">
              <w:rPr>
                <w:rFonts w:ascii="Arial" w:hAnsi="Arial" w:cs="Arial"/>
                <w:sz w:val="22"/>
                <w:szCs w:val="22"/>
              </w:rPr>
              <w:t xml:space="preserve"> months of a public tender or auction process. Currently information on the disposal of property under regulation 30(2a) is to be made available for public inspection for at least 12 months.  This amendment extends this to also require the publication of details of this disposal on the local government’s official website. </w:t>
            </w:r>
          </w:p>
        </w:tc>
      </w:tr>
      <w:tr w:rsidR="007F2577" w:rsidRPr="004C0107" w14:paraId="2A44CD5D" w14:textId="77777777" w:rsidTr="00762DAE">
        <w:tc>
          <w:tcPr>
            <w:tcW w:w="1099" w:type="dxa"/>
          </w:tcPr>
          <w:p w14:paraId="05BA2829" w14:textId="5A2CD212" w:rsidR="007F2577" w:rsidRPr="00184E30" w:rsidRDefault="007F2577" w:rsidP="003D184C">
            <w:pPr>
              <w:spacing w:before="120" w:after="240" w:line="276" w:lineRule="auto"/>
              <w:rPr>
                <w:rFonts w:ascii="Arial" w:hAnsi="Arial"/>
                <w:sz w:val="22"/>
                <w:szCs w:val="22"/>
              </w:rPr>
            </w:pPr>
            <w:r w:rsidRPr="00184E30">
              <w:rPr>
                <w:rFonts w:ascii="Arial" w:hAnsi="Arial"/>
                <w:sz w:val="22"/>
                <w:szCs w:val="22"/>
              </w:rPr>
              <w:t>Reg 43</w:t>
            </w:r>
          </w:p>
        </w:tc>
        <w:tc>
          <w:tcPr>
            <w:tcW w:w="2157" w:type="dxa"/>
          </w:tcPr>
          <w:p w14:paraId="51A36C0F" w14:textId="77777777" w:rsidR="007F2577" w:rsidRPr="00184E30" w:rsidRDefault="007F2577" w:rsidP="003D184C">
            <w:pPr>
              <w:spacing w:before="120" w:after="240" w:line="276" w:lineRule="auto"/>
              <w:rPr>
                <w:rFonts w:ascii="Arial" w:hAnsi="Arial"/>
                <w:sz w:val="22"/>
                <w:szCs w:val="22"/>
              </w:rPr>
            </w:pPr>
            <w:r w:rsidRPr="00184E30">
              <w:rPr>
                <w:rFonts w:ascii="Arial" w:hAnsi="Arial"/>
                <w:i/>
                <w:sz w:val="22"/>
                <w:szCs w:val="22"/>
              </w:rPr>
              <w:t>Local Government (Regional Subsidiaries) Regulations 2017</w:t>
            </w:r>
            <w:r w:rsidRPr="00184E30">
              <w:rPr>
                <w:rFonts w:ascii="Arial" w:hAnsi="Arial"/>
                <w:sz w:val="22"/>
                <w:szCs w:val="22"/>
              </w:rPr>
              <w:br/>
              <w:t>Regulation 18</w:t>
            </w:r>
          </w:p>
        </w:tc>
        <w:tc>
          <w:tcPr>
            <w:tcW w:w="11056" w:type="dxa"/>
          </w:tcPr>
          <w:p w14:paraId="05755A03" w14:textId="73B1D8DB" w:rsidR="007F2577" w:rsidRPr="00184E30" w:rsidRDefault="007A682D" w:rsidP="003D184C">
            <w:pPr>
              <w:spacing w:before="120" w:after="120" w:line="276" w:lineRule="auto"/>
              <w:rPr>
                <w:rFonts w:ascii="Arial" w:hAnsi="Arial" w:cs="Arial"/>
                <w:sz w:val="22"/>
                <w:szCs w:val="22"/>
              </w:rPr>
            </w:pPr>
            <w:r w:rsidRPr="00184E30">
              <w:rPr>
                <w:rFonts w:ascii="Arial" w:hAnsi="Arial" w:cs="Arial"/>
                <w:sz w:val="22"/>
                <w:szCs w:val="22"/>
              </w:rPr>
              <w:t>The effect of this amendment is to require a regional subsidiary to report on the salary bands of employees receiving $130,000 or more, and the remuneration of the CEO.</w:t>
            </w:r>
          </w:p>
        </w:tc>
      </w:tr>
    </w:tbl>
    <w:p w14:paraId="2C8731EB" w14:textId="6F63400D" w:rsidR="00B8244B" w:rsidRDefault="00B8244B" w:rsidP="00CA3C38">
      <w:pPr>
        <w:rPr>
          <w:rFonts w:ascii="Arial" w:hAnsi="Arial" w:cs="Arial"/>
          <w:sz w:val="24"/>
          <w:szCs w:val="24"/>
        </w:rPr>
      </w:pPr>
    </w:p>
    <w:p w14:paraId="51F60117" w14:textId="6594A645" w:rsidR="00231455" w:rsidRDefault="00231455" w:rsidP="00CA3C38">
      <w:pPr>
        <w:rPr>
          <w:rFonts w:ascii="Arial" w:hAnsi="Arial" w:cs="Arial"/>
          <w:sz w:val="24"/>
          <w:szCs w:val="24"/>
        </w:rPr>
      </w:pPr>
    </w:p>
    <w:p w14:paraId="12BB99E2" w14:textId="32730625" w:rsidR="00231455" w:rsidRPr="00B07D02" w:rsidRDefault="00231455" w:rsidP="00CA3C38">
      <w:pPr>
        <w:rPr>
          <w:rFonts w:ascii="Arial" w:hAnsi="Arial" w:cs="Arial"/>
          <w:sz w:val="24"/>
          <w:szCs w:val="24"/>
        </w:rPr>
      </w:pPr>
    </w:p>
    <w:sectPr w:rsidR="00231455" w:rsidRPr="00B07D02" w:rsidSect="00B1011F">
      <w:footerReference w:type="default" r:id="rId16"/>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4F4B5" w14:textId="77777777" w:rsidR="003B4E44" w:rsidRDefault="003B4E44" w:rsidP="00516996">
      <w:pPr>
        <w:spacing w:after="0" w:line="240" w:lineRule="auto"/>
      </w:pPr>
      <w:r>
        <w:separator/>
      </w:r>
    </w:p>
  </w:endnote>
  <w:endnote w:type="continuationSeparator" w:id="0">
    <w:p w14:paraId="6A38BAAA" w14:textId="77777777" w:rsidR="003B4E44" w:rsidRDefault="003B4E44" w:rsidP="00516996">
      <w:pPr>
        <w:spacing w:after="0" w:line="240" w:lineRule="auto"/>
      </w:pPr>
      <w:r>
        <w:continuationSeparator/>
      </w:r>
    </w:p>
  </w:endnote>
  <w:endnote w:type="continuationNotice" w:id="1">
    <w:p w14:paraId="3718666D" w14:textId="77777777" w:rsidR="003B4E44" w:rsidRDefault="003B4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CFCF" w14:textId="3F066A84" w:rsidR="0031642D" w:rsidRPr="0031642D" w:rsidRDefault="0031642D">
    <w:pPr>
      <w:pStyle w:val="Footer"/>
    </w:pPr>
    <w:r w:rsidRPr="0031642D">
      <w:t>E2041616</w:t>
    </w:r>
  </w:p>
  <w:p w14:paraId="3B17FA1C" w14:textId="77777777" w:rsidR="0031642D" w:rsidRDefault="0031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AE063" w14:textId="77777777" w:rsidR="003B4E44" w:rsidRDefault="003B4E44" w:rsidP="00516996">
      <w:pPr>
        <w:spacing w:after="0" w:line="240" w:lineRule="auto"/>
      </w:pPr>
      <w:r>
        <w:separator/>
      </w:r>
    </w:p>
  </w:footnote>
  <w:footnote w:type="continuationSeparator" w:id="0">
    <w:p w14:paraId="7707E13C" w14:textId="77777777" w:rsidR="003B4E44" w:rsidRDefault="003B4E44" w:rsidP="00516996">
      <w:pPr>
        <w:spacing w:after="0" w:line="240" w:lineRule="auto"/>
      </w:pPr>
      <w:r>
        <w:continuationSeparator/>
      </w:r>
    </w:p>
  </w:footnote>
  <w:footnote w:type="continuationNotice" w:id="1">
    <w:p w14:paraId="584A8081" w14:textId="77777777" w:rsidR="003B4E44" w:rsidRDefault="003B4E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D62"/>
    <w:multiLevelType w:val="multilevel"/>
    <w:tmpl w:val="5628A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C1AAC"/>
    <w:multiLevelType w:val="hybridMultilevel"/>
    <w:tmpl w:val="BA329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A7351"/>
    <w:multiLevelType w:val="hybridMultilevel"/>
    <w:tmpl w:val="7820C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DA2D89"/>
    <w:multiLevelType w:val="hybridMultilevel"/>
    <w:tmpl w:val="278EB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812311"/>
    <w:multiLevelType w:val="hybridMultilevel"/>
    <w:tmpl w:val="38C2C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C84D3F"/>
    <w:multiLevelType w:val="hybridMultilevel"/>
    <w:tmpl w:val="62A6D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451009"/>
    <w:multiLevelType w:val="hybridMultilevel"/>
    <w:tmpl w:val="993AC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C57377"/>
    <w:multiLevelType w:val="hybridMultilevel"/>
    <w:tmpl w:val="035E8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F6769A"/>
    <w:multiLevelType w:val="hybridMultilevel"/>
    <w:tmpl w:val="A65EE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61663A"/>
    <w:multiLevelType w:val="hybridMultilevel"/>
    <w:tmpl w:val="214E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852AF"/>
    <w:multiLevelType w:val="hybridMultilevel"/>
    <w:tmpl w:val="1C8A4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6"/>
  </w:num>
  <w:num w:numId="6">
    <w:abstractNumId w:val="9"/>
  </w:num>
  <w:num w:numId="7">
    <w:abstractNumId w:val="10"/>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38"/>
    <w:rsid w:val="0001007E"/>
    <w:rsid w:val="00010C64"/>
    <w:rsid w:val="000256B6"/>
    <w:rsid w:val="000265EE"/>
    <w:rsid w:val="00036345"/>
    <w:rsid w:val="000365A5"/>
    <w:rsid w:val="0003676F"/>
    <w:rsid w:val="00044E1C"/>
    <w:rsid w:val="00053C54"/>
    <w:rsid w:val="00067F71"/>
    <w:rsid w:val="00080551"/>
    <w:rsid w:val="00090AC9"/>
    <w:rsid w:val="000927FF"/>
    <w:rsid w:val="00095220"/>
    <w:rsid w:val="000959D0"/>
    <w:rsid w:val="000A007F"/>
    <w:rsid w:val="000A2CEB"/>
    <w:rsid w:val="000A5DD7"/>
    <w:rsid w:val="000A75DA"/>
    <w:rsid w:val="000A7B3E"/>
    <w:rsid w:val="000B1EF5"/>
    <w:rsid w:val="000C4582"/>
    <w:rsid w:val="000C53B9"/>
    <w:rsid w:val="000D4090"/>
    <w:rsid w:val="000E3883"/>
    <w:rsid w:val="000E7446"/>
    <w:rsid w:val="000F164A"/>
    <w:rsid w:val="001011CB"/>
    <w:rsid w:val="00106A2C"/>
    <w:rsid w:val="001148E2"/>
    <w:rsid w:val="00115F9F"/>
    <w:rsid w:val="00120B73"/>
    <w:rsid w:val="00134742"/>
    <w:rsid w:val="0013740F"/>
    <w:rsid w:val="00137C02"/>
    <w:rsid w:val="00141A54"/>
    <w:rsid w:val="00145371"/>
    <w:rsid w:val="001457A0"/>
    <w:rsid w:val="00157799"/>
    <w:rsid w:val="001604DD"/>
    <w:rsid w:val="00160579"/>
    <w:rsid w:val="00166E22"/>
    <w:rsid w:val="00184E30"/>
    <w:rsid w:val="00186D9E"/>
    <w:rsid w:val="001879D6"/>
    <w:rsid w:val="001979EF"/>
    <w:rsid w:val="001A0F41"/>
    <w:rsid w:val="001A34ED"/>
    <w:rsid w:val="001A70AC"/>
    <w:rsid w:val="001B3C11"/>
    <w:rsid w:val="001C276B"/>
    <w:rsid w:val="001C6EF4"/>
    <w:rsid w:val="001D2B45"/>
    <w:rsid w:val="001D2C6D"/>
    <w:rsid w:val="001D358D"/>
    <w:rsid w:val="001D7266"/>
    <w:rsid w:val="001E2010"/>
    <w:rsid w:val="001E2272"/>
    <w:rsid w:val="001E5FD5"/>
    <w:rsid w:val="002011DF"/>
    <w:rsid w:val="00220ADF"/>
    <w:rsid w:val="00222252"/>
    <w:rsid w:val="00227A51"/>
    <w:rsid w:val="00230163"/>
    <w:rsid w:val="002307A3"/>
    <w:rsid w:val="00231070"/>
    <w:rsid w:val="00231455"/>
    <w:rsid w:val="002344D6"/>
    <w:rsid w:val="002350D0"/>
    <w:rsid w:val="002358B4"/>
    <w:rsid w:val="002428A8"/>
    <w:rsid w:val="00255C92"/>
    <w:rsid w:val="00256B0C"/>
    <w:rsid w:val="0026030D"/>
    <w:rsid w:val="002747FA"/>
    <w:rsid w:val="00281B70"/>
    <w:rsid w:val="0028250D"/>
    <w:rsid w:val="00282AD5"/>
    <w:rsid w:val="002953BB"/>
    <w:rsid w:val="002A14FF"/>
    <w:rsid w:val="002A4677"/>
    <w:rsid w:val="002A776F"/>
    <w:rsid w:val="002C76EF"/>
    <w:rsid w:val="002D1C12"/>
    <w:rsid w:val="002D398D"/>
    <w:rsid w:val="002D4785"/>
    <w:rsid w:val="002D4C4F"/>
    <w:rsid w:val="002E1E02"/>
    <w:rsid w:val="002E3116"/>
    <w:rsid w:val="002E7762"/>
    <w:rsid w:val="002E7F66"/>
    <w:rsid w:val="002F639D"/>
    <w:rsid w:val="003029A8"/>
    <w:rsid w:val="00303814"/>
    <w:rsid w:val="0030490C"/>
    <w:rsid w:val="0031642D"/>
    <w:rsid w:val="0033093A"/>
    <w:rsid w:val="0033204B"/>
    <w:rsid w:val="00333205"/>
    <w:rsid w:val="00335A7A"/>
    <w:rsid w:val="003373FE"/>
    <w:rsid w:val="00342D33"/>
    <w:rsid w:val="00343E97"/>
    <w:rsid w:val="003470D5"/>
    <w:rsid w:val="0034775A"/>
    <w:rsid w:val="00354D50"/>
    <w:rsid w:val="00377063"/>
    <w:rsid w:val="00385D51"/>
    <w:rsid w:val="00386CC0"/>
    <w:rsid w:val="00387A61"/>
    <w:rsid w:val="003910E8"/>
    <w:rsid w:val="00392E4F"/>
    <w:rsid w:val="003A0256"/>
    <w:rsid w:val="003B29B0"/>
    <w:rsid w:val="003B4E44"/>
    <w:rsid w:val="003B783B"/>
    <w:rsid w:val="003C1889"/>
    <w:rsid w:val="003C6B2B"/>
    <w:rsid w:val="003C75FE"/>
    <w:rsid w:val="003D021C"/>
    <w:rsid w:val="003D184C"/>
    <w:rsid w:val="003D3225"/>
    <w:rsid w:val="003D63A4"/>
    <w:rsid w:val="003E21C9"/>
    <w:rsid w:val="003E2DC6"/>
    <w:rsid w:val="003E66CA"/>
    <w:rsid w:val="003F0EF1"/>
    <w:rsid w:val="00407BB1"/>
    <w:rsid w:val="00411B6F"/>
    <w:rsid w:val="00412F3A"/>
    <w:rsid w:val="00414167"/>
    <w:rsid w:val="004157EA"/>
    <w:rsid w:val="0042074B"/>
    <w:rsid w:val="00421125"/>
    <w:rsid w:val="00426072"/>
    <w:rsid w:val="00442E6F"/>
    <w:rsid w:val="004464C2"/>
    <w:rsid w:val="00446DD4"/>
    <w:rsid w:val="00452AB4"/>
    <w:rsid w:val="00460C7A"/>
    <w:rsid w:val="00460CCB"/>
    <w:rsid w:val="00464F60"/>
    <w:rsid w:val="00465E4F"/>
    <w:rsid w:val="00465F10"/>
    <w:rsid w:val="00473EFA"/>
    <w:rsid w:val="00474A50"/>
    <w:rsid w:val="0048200E"/>
    <w:rsid w:val="0048226D"/>
    <w:rsid w:val="00482625"/>
    <w:rsid w:val="00491B8D"/>
    <w:rsid w:val="004932A6"/>
    <w:rsid w:val="0049666B"/>
    <w:rsid w:val="004A7B57"/>
    <w:rsid w:val="004B175E"/>
    <w:rsid w:val="004B27B4"/>
    <w:rsid w:val="004C0107"/>
    <w:rsid w:val="004C1EA3"/>
    <w:rsid w:val="004D04CC"/>
    <w:rsid w:val="004D1F4B"/>
    <w:rsid w:val="004D4BE8"/>
    <w:rsid w:val="004D5D92"/>
    <w:rsid w:val="004E09F9"/>
    <w:rsid w:val="004E28D8"/>
    <w:rsid w:val="004E2CCB"/>
    <w:rsid w:val="004E499C"/>
    <w:rsid w:val="004E79C3"/>
    <w:rsid w:val="004F2FCB"/>
    <w:rsid w:val="004F3BEC"/>
    <w:rsid w:val="004F77F1"/>
    <w:rsid w:val="004F7D1C"/>
    <w:rsid w:val="005106FB"/>
    <w:rsid w:val="0051236C"/>
    <w:rsid w:val="00512415"/>
    <w:rsid w:val="00514DC9"/>
    <w:rsid w:val="00516996"/>
    <w:rsid w:val="00522269"/>
    <w:rsid w:val="00522A3A"/>
    <w:rsid w:val="005234F6"/>
    <w:rsid w:val="00531C70"/>
    <w:rsid w:val="00532E11"/>
    <w:rsid w:val="00533B63"/>
    <w:rsid w:val="00536B64"/>
    <w:rsid w:val="00537B42"/>
    <w:rsid w:val="00540F6F"/>
    <w:rsid w:val="005434B6"/>
    <w:rsid w:val="00544CA2"/>
    <w:rsid w:val="005561BD"/>
    <w:rsid w:val="00557BAC"/>
    <w:rsid w:val="00571571"/>
    <w:rsid w:val="00571D1D"/>
    <w:rsid w:val="00574716"/>
    <w:rsid w:val="00577942"/>
    <w:rsid w:val="00577C9D"/>
    <w:rsid w:val="0058376B"/>
    <w:rsid w:val="00594F2B"/>
    <w:rsid w:val="00596255"/>
    <w:rsid w:val="005B239B"/>
    <w:rsid w:val="005B2A13"/>
    <w:rsid w:val="005D0167"/>
    <w:rsid w:val="005D234A"/>
    <w:rsid w:val="005E104C"/>
    <w:rsid w:val="005E3054"/>
    <w:rsid w:val="005E4CCA"/>
    <w:rsid w:val="005F1070"/>
    <w:rsid w:val="005F333D"/>
    <w:rsid w:val="005F39E2"/>
    <w:rsid w:val="006055DE"/>
    <w:rsid w:val="00610608"/>
    <w:rsid w:val="00616793"/>
    <w:rsid w:val="00651200"/>
    <w:rsid w:val="00651578"/>
    <w:rsid w:val="006653B9"/>
    <w:rsid w:val="00670B19"/>
    <w:rsid w:val="0067180C"/>
    <w:rsid w:val="0069037A"/>
    <w:rsid w:val="00690DC7"/>
    <w:rsid w:val="00693FB0"/>
    <w:rsid w:val="0069616A"/>
    <w:rsid w:val="006A4E23"/>
    <w:rsid w:val="006A6E66"/>
    <w:rsid w:val="006B27E9"/>
    <w:rsid w:val="006C7FE0"/>
    <w:rsid w:val="006E713C"/>
    <w:rsid w:val="006F19FE"/>
    <w:rsid w:val="006F7E92"/>
    <w:rsid w:val="0070503B"/>
    <w:rsid w:val="00706B1D"/>
    <w:rsid w:val="0070748D"/>
    <w:rsid w:val="007116C2"/>
    <w:rsid w:val="0071280F"/>
    <w:rsid w:val="007147B6"/>
    <w:rsid w:val="00714AFB"/>
    <w:rsid w:val="007208B7"/>
    <w:rsid w:val="0072371F"/>
    <w:rsid w:val="007238F3"/>
    <w:rsid w:val="00727833"/>
    <w:rsid w:val="00730D85"/>
    <w:rsid w:val="00735B7C"/>
    <w:rsid w:val="0074673D"/>
    <w:rsid w:val="007515C8"/>
    <w:rsid w:val="00753AA4"/>
    <w:rsid w:val="00757FAD"/>
    <w:rsid w:val="007603C3"/>
    <w:rsid w:val="00760D78"/>
    <w:rsid w:val="00762DAE"/>
    <w:rsid w:val="007630AF"/>
    <w:rsid w:val="00764B84"/>
    <w:rsid w:val="00766E6B"/>
    <w:rsid w:val="00771721"/>
    <w:rsid w:val="007721F7"/>
    <w:rsid w:val="00775F37"/>
    <w:rsid w:val="00795AF6"/>
    <w:rsid w:val="007A3C84"/>
    <w:rsid w:val="007A53E0"/>
    <w:rsid w:val="007A682D"/>
    <w:rsid w:val="007A6ABE"/>
    <w:rsid w:val="007B0447"/>
    <w:rsid w:val="007B1635"/>
    <w:rsid w:val="007B2B08"/>
    <w:rsid w:val="007B79ED"/>
    <w:rsid w:val="007C050C"/>
    <w:rsid w:val="007C1699"/>
    <w:rsid w:val="007C54EE"/>
    <w:rsid w:val="007D371B"/>
    <w:rsid w:val="007D6D80"/>
    <w:rsid w:val="007D7CFB"/>
    <w:rsid w:val="007E172A"/>
    <w:rsid w:val="007E5285"/>
    <w:rsid w:val="007E5C63"/>
    <w:rsid w:val="007F18AA"/>
    <w:rsid w:val="007F2577"/>
    <w:rsid w:val="00805553"/>
    <w:rsid w:val="00820722"/>
    <w:rsid w:val="00824A55"/>
    <w:rsid w:val="00832991"/>
    <w:rsid w:val="00844E90"/>
    <w:rsid w:val="00851CF5"/>
    <w:rsid w:val="0085363D"/>
    <w:rsid w:val="0086149B"/>
    <w:rsid w:val="008618E5"/>
    <w:rsid w:val="00867369"/>
    <w:rsid w:val="00871D08"/>
    <w:rsid w:val="00877EC0"/>
    <w:rsid w:val="008A6645"/>
    <w:rsid w:val="008B2599"/>
    <w:rsid w:val="008C1931"/>
    <w:rsid w:val="008C6FF8"/>
    <w:rsid w:val="008D28DA"/>
    <w:rsid w:val="008D7CE9"/>
    <w:rsid w:val="008F07B6"/>
    <w:rsid w:val="009110FB"/>
    <w:rsid w:val="00924EEC"/>
    <w:rsid w:val="009253C7"/>
    <w:rsid w:val="009279F2"/>
    <w:rsid w:val="00944229"/>
    <w:rsid w:val="00944FA5"/>
    <w:rsid w:val="00945E1E"/>
    <w:rsid w:val="00950D54"/>
    <w:rsid w:val="009542AD"/>
    <w:rsid w:val="009616DF"/>
    <w:rsid w:val="00970B25"/>
    <w:rsid w:val="00980643"/>
    <w:rsid w:val="0098498F"/>
    <w:rsid w:val="00986FDF"/>
    <w:rsid w:val="009B1FB0"/>
    <w:rsid w:val="009B52E2"/>
    <w:rsid w:val="009C3A6D"/>
    <w:rsid w:val="009C74A7"/>
    <w:rsid w:val="009D2D76"/>
    <w:rsid w:val="009D5DCB"/>
    <w:rsid w:val="009E102E"/>
    <w:rsid w:val="009E6FEB"/>
    <w:rsid w:val="00A136A6"/>
    <w:rsid w:val="00A24379"/>
    <w:rsid w:val="00A279D9"/>
    <w:rsid w:val="00A30DF4"/>
    <w:rsid w:val="00A44EFE"/>
    <w:rsid w:val="00A45CCD"/>
    <w:rsid w:val="00A47D50"/>
    <w:rsid w:val="00A512A8"/>
    <w:rsid w:val="00A53BC8"/>
    <w:rsid w:val="00A62604"/>
    <w:rsid w:val="00A77B01"/>
    <w:rsid w:val="00A90BD7"/>
    <w:rsid w:val="00A92C1B"/>
    <w:rsid w:val="00A9417C"/>
    <w:rsid w:val="00AA1C7E"/>
    <w:rsid w:val="00AA343B"/>
    <w:rsid w:val="00AB4291"/>
    <w:rsid w:val="00AB5F4D"/>
    <w:rsid w:val="00AB7033"/>
    <w:rsid w:val="00AC0150"/>
    <w:rsid w:val="00AC1214"/>
    <w:rsid w:val="00AC49C6"/>
    <w:rsid w:val="00AD3D7B"/>
    <w:rsid w:val="00AE1608"/>
    <w:rsid w:val="00AE1B5D"/>
    <w:rsid w:val="00AF323B"/>
    <w:rsid w:val="00AF6A38"/>
    <w:rsid w:val="00AF7542"/>
    <w:rsid w:val="00AF7836"/>
    <w:rsid w:val="00AF7C6D"/>
    <w:rsid w:val="00B01C22"/>
    <w:rsid w:val="00B07D02"/>
    <w:rsid w:val="00B1011F"/>
    <w:rsid w:val="00B121F5"/>
    <w:rsid w:val="00B133CF"/>
    <w:rsid w:val="00B166C5"/>
    <w:rsid w:val="00B170D9"/>
    <w:rsid w:val="00B3223C"/>
    <w:rsid w:val="00B415BD"/>
    <w:rsid w:val="00B4216D"/>
    <w:rsid w:val="00B46D90"/>
    <w:rsid w:val="00B471C8"/>
    <w:rsid w:val="00B534F7"/>
    <w:rsid w:val="00B61C8A"/>
    <w:rsid w:val="00B734EE"/>
    <w:rsid w:val="00B758D9"/>
    <w:rsid w:val="00B8244B"/>
    <w:rsid w:val="00B85B6A"/>
    <w:rsid w:val="00B93F9E"/>
    <w:rsid w:val="00BB39A7"/>
    <w:rsid w:val="00BB6D6D"/>
    <w:rsid w:val="00BC0094"/>
    <w:rsid w:val="00BC23C4"/>
    <w:rsid w:val="00BC4F0E"/>
    <w:rsid w:val="00BE41DE"/>
    <w:rsid w:val="00BF1E73"/>
    <w:rsid w:val="00BF22A7"/>
    <w:rsid w:val="00BF4337"/>
    <w:rsid w:val="00C016AC"/>
    <w:rsid w:val="00C02699"/>
    <w:rsid w:val="00C166F9"/>
    <w:rsid w:val="00C24758"/>
    <w:rsid w:val="00C24944"/>
    <w:rsid w:val="00C32177"/>
    <w:rsid w:val="00C4686E"/>
    <w:rsid w:val="00C505BB"/>
    <w:rsid w:val="00C616F0"/>
    <w:rsid w:val="00C72A50"/>
    <w:rsid w:val="00C75184"/>
    <w:rsid w:val="00C76E34"/>
    <w:rsid w:val="00C82400"/>
    <w:rsid w:val="00C87CA0"/>
    <w:rsid w:val="00C9695F"/>
    <w:rsid w:val="00CA3C38"/>
    <w:rsid w:val="00CB117D"/>
    <w:rsid w:val="00CB1932"/>
    <w:rsid w:val="00CD784C"/>
    <w:rsid w:val="00CF24ED"/>
    <w:rsid w:val="00CF77E9"/>
    <w:rsid w:val="00CF7864"/>
    <w:rsid w:val="00D05478"/>
    <w:rsid w:val="00D0722F"/>
    <w:rsid w:val="00D12754"/>
    <w:rsid w:val="00D15375"/>
    <w:rsid w:val="00D15AC2"/>
    <w:rsid w:val="00D15B15"/>
    <w:rsid w:val="00D301F5"/>
    <w:rsid w:val="00D33C08"/>
    <w:rsid w:val="00D35950"/>
    <w:rsid w:val="00D4085E"/>
    <w:rsid w:val="00D50397"/>
    <w:rsid w:val="00D563AA"/>
    <w:rsid w:val="00D57508"/>
    <w:rsid w:val="00D57CA0"/>
    <w:rsid w:val="00D618C4"/>
    <w:rsid w:val="00D62414"/>
    <w:rsid w:val="00D627EC"/>
    <w:rsid w:val="00D647D6"/>
    <w:rsid w:val="00D65B60"/>
    <w:rsid w:val="00D738D9"/>
    <w:rsid w:val="00D763F2"/>
    <w:rsid w:val="00D84B82"/>
    <w:rsid w:val="00D86E9C"/>
    <w:rsid w:val="00D87DE6"/>
    <w:rsid w:val="00D87DE7"/>
    <w:rsid w:val="00D95F02"/>
    <w:rsid w:val="00DA023D"/>
    <w:rsid w:val="00DA266F"/>
    <w:rsid w:val="00DB5091"/>
    <w:rsid w:val="00DD04F0"/>
    <w:rsid w:val="00DD3705"/>
    <w:rsid w:val="00DE1C2E"/>
    <w:rsid w:val="00DE1D3C"/>
    <w:rsid w:val="00DF7642"/>
    <w:rsid w:val="00E03DFD"/>
    <w:rsid w:val="00E04C92"/>
    <w:rsid w:val="00E1130C"/>
    <w:rsid w:val="00E11DEB"/>
    <w:rsid w:val="00E14BF0"/>
    <w:rsid w:val="00E156C8"/>
    <w:rsid w:val="00E177D6"/>
    <w:rsid w:val="00E20064"/>
    <w:rsid w:val="00E2356F"/>
    <w:rsid w:val="00E3510D"/>
    <w:rsid w:val="00E352EB"/>
    <w:rsid w:val="00E36009"/>
    <w:rsid w:val="00E40C5A"/>
    <w:rsid w:val="00E416DF"/>
    <w:rsid w:val="00E43D6F"/>
    <w:rsid w:val="00E449D9"/>
    <w:rsid w:val="00E46444"/>
    <w:rsid w:val="00E645E9"/>
    <w:rsid w:val="00E719D8"/>
    <w:rsid w:val="00E72DC0"/>
    <w:rsid w:val="00E76995"/>
    <w:rsid w:val="00E933C0"/>
    <w:rsid w:val="00EC6884"/>
    <w:rsid w:val="00ED042D"/>
    <w:rsid w:val="00EE261D"/>
    <w:rsid w:val="00EE4B7F"/>
    <w:rsid w:val="00EE6AE1"/>
    <w:rsid w:val="00EF10EF"/>
    <w:rsid w:val="00EF5534"/>
    <w:rsid w:val="00EF5D5F"/>
    <w:rsid w:val="00F02BB6"/>
    <w:rsid w:val="00F02FEE"/>
    <w:rsid w:val="00F06D1C"/>
    <w:rsid w:val="00F07E26"/>
    <w:rsid w:val="00F20EFA"/>
    <w:rsid w:val="00F23366"/>
    <w:rsid w:val="00F30B57"/>
    <w:rsid w:val="00F41DF5"/>
    <w:rsid w:val="00F4419E"/>
    <w:rsid w:val="00F51147"/>
    <w:rsid w:val="00F52FEB"/>
    <w:rsid w:val="00F53341"/>
    <w:rsid w:val="00F55613"/>
    <w:rsid w:val="00F56019"/>
    <w:rsid w:val="00F5602E"/>
    <w:rsid w:val="00F565A9"/>
    <w:rsid w:val="00F7598B"/>
    <w:rsid w:val="00F77B73"/>
    <w:rsid w:val="00F8674A"/>
    <w:rsid w:val="00F87245"/>
    <w:rsid w:val="00F87C34"/>
    <w:rsid w:val="00F9273B"/>
    <w:rsid w:val="00FA06C3"/>
    <w:rsid w:val="00FA5546"/>
    <w:rsid w:val="00FB3EAF"/>
    <w:rsid w:val="00FB54C9"/>
    <w:rsid w:val="00FC0DE4"/>
    <w:rsid w:val="00FC1571"/>
    <w:rsid w:val="00FC70DB"/>
    <w:rsid w:val="00FD106F"/>
    <w:rsid w:val="00FF04B4"/>
    <w:rsid w:val="00FF2351"/>
    <w:rsid w:val="00FF75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22BCD"/>
  <w15:chartTrackingRefBased/>
  <w15:docId w15:val="{4A385EB3-41E3-45FC-9E1F-D394CC3B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A3C38"/>
    <w:pPr>
      <w:tabs>
        <w:tab w:val="right" w:pos="9295"/>
      </w:tabs>
      <w:spacing w:before="120" w:after="240" w:line="276" w:lineRule="auto"/>
    </w:pPr>
    <w:rPr>
      <w:rFonts w:ascii="Arial" w:eastAsia="Times New Roman" w:hAnsi="Arial" w:cs="Arial"/>
      <w:color w:val="2D2E2F"/>
      <w:sz w:val="16"/>
      <w:szCs w:val="16"/>
      <w:lang w:eastAsia="en-AU"/>
    </w:rPr>
  </w:style>
  <w:style w:type="character" w:customStyle="1" w:styleId="HeaderChar">
    <w:name w:val="Header Char"/>
    <w:basedOn w:val="DefaultParagraphFont"/>
    <w:link w:val="Header"/>
    <w:uiPriority w:val="99"/>
    <w:rsid w:val="00CA3C38"/>
    <w:rPr>
      <w:rFonts w:ascii="Arial" w:eastAsia="Times New Roman" w:hAnsi="Arial" w:cs="Arial"/>
      <w:color w:val="2D2E2F"/>
      <w:sz w:val="16"/>
      <w:szCs w:val="16"/>
      <w:lang w:eastAsia="en-AU"/>
    </w:rPr>
  </w:style>
  <w:style w:type="paragraph" w:styleId="ListParagraph">
    <w:name w:val="List Paragraph"/>
    <w:basedOn w:val="Normal"/>
    <w:uiPriority w:val="34"/>
    <w:qFormat/>
    <w:rsid w:val="00CA3C38"/>
    <w:pPr>
      <w:ind w:left="720"/>
      <w:contextualSpacing/>
    </w:pPr>
  </w:style>
  <w:style w:type="table" w:styleId="TableGrid">
    <w:name w:val="Table Grid"/>
    <w:basedOn w:val="TableNormal"/>
    <w:uiPriority w:val="39"/>
    <w:rsid w:val="00CA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44B"/>
    <w:rPr>
      <w:color w:val="0000FF"/>
      <w:u w:val="single"/>
    </w:rPr>
  </w:style>
  <w:style w:type="table" w:customStyle="1" w:styleId="TableGrid1">
    <w:name w:val="Table Grid1"/>
    <w:basedOn w:val="TableNormal"/>
    <w:next w:val="TableGrid"/>
    <w:uiPriority w:val="59"/>
    <w:rsid w:val="004C0107"/>
    <w:pPr>
      <w:spacing w:after="0" w:line="240" w:lineRule="auto"/>
    </w:pPr>
    <w:rPr>
      <w:rFonts w:ascii="Verdana" w:eastAsia="Times New Roman" w:hAnsi="Verdan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996"/>
  </w:style>
  <w:style w:type="character" w:styleId="CommentReference">
    <w:name w:val="annotation reference"/>
    <w:basedOn w:val="DefaultParagraphFont"/>
    <w:uiPriority w:val="99"/>
    <w:semiHidden/>
    <w:unhideWhenUsed/>
    <w:rsid w:val="00A45CCD"/>
    <w:rPr>
      <w:sz w:val="16"/>
      <w:szCs w:val="16"/>
    </w:rPr>
  </w:style>
  <w:style w:type="paragraph" w:styleId="CommentText">
    <w:name w:val="annotation text"/>
    <w:basedOn w:val="Normal"/>
    <w:link w:val="CommentTextChar"/>
    <w:uiPriority w:val="99"/>
    <w:unhideWhenUsed/>
    <w:rsid w:val="00A45CCD"/>
    <w:pPr>
      <w:spacing w:line="240" w:lineRule="auto"/>
    </w:pPr>
    <w:rPr>
      <w:sz w:val="20"/>
      <w:szCs w:val="20"/>
    </w:rPr>
  </w:style>
  <w:style w:type="character" w:customStyle="1" w:styleId="CommentTextChar">
    <w:name w:val="Comment Text Char"/>
    <w:basedOn w:val="DefaultParagraphFont"/>
    <w:link w:val="CommentText"/>
    <w:uiPriority w:val="99"/>
    <w:rsid w:val="00A45CCD"/>
    <w:rPr>
      <w:sz w:val="20"/>
      <w:szCs w:val="20"/>
    </w:rPr>
  </w:style>
  <w:style w:type="paragraph" w:styleId="CommentSubject">
    <w:name w:val="annotation subject"/>
    <w:basedOn w:val="CommentText"/>
    <w:next w:val="CommentText"/>
    <w:link w:val="CommentSubjectChar"/>
    <w:uiPriority w:val="99"/>
    <w:semiHidden/>
    <w:unhideWhenUsed/>
    <w:rsid w:val="00A45CCD"/>
    <w:rPr>
      <w:b/>
      <w:bCs/>
    </w:rPr>
  </w:style>
  <w:style w:type="character" w:customStyle="1" w:styleId="CommentSubjectChar">
    <w:name w:val="Comment Subject Char"/>
    <w:basedOn w:val="CommentTextChar"/>
    <w:link w:val="CommentSubject"/>
    <w:uiPriority w:val="99"/>
    <w:semiHidden/>
    <w:rsid w:val="00A45CCD"/>
    <w:rPr>
      <w:b/>
      <w:bCs/>
      <w:sz w:val="20"/>
      <w:szCs w:val="20"/>
    </w:rPr>
  </w:style>
  <w:style w:type="paragraph" w:styleId="BalloonText">
    <w:name w:val="Balloon Text"/>
    <w:basedOn w:val="Normal"/>
    <w:link w:val="BalloonTextChar"/>
    <w:uiPriority w:val="99"/>
    <w:semiHidden/>
    <w:unhideWhenUsed/>
    <w:rsid w:val="00A45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CD"/>
    <w:rPr>
      <w:rFonts w:ascii="Segoe UI" w:hAnsi="Segoe UI" w:cs="Segoe UI"/>
      <w:sz w:val="18"/>
      <w:szCs w:val="18"/>
    </w:rPr>
  </w:style>
  <w:style w:type="character" w:styleId="FollowedHyperlink">
    <w:name w:val="FollowedHyperlink"/>
    <w:basedOn w:val="DefaultParagraphFont"/>
    <w:uiPriority w:val="99"/>
    <w:semiHidden/>
    <w:unhideWhenUsed/>
    <w:rsid w:val="00465E4F"/>
    <w:rPr>
      <w:color w:val="954F72" w:themeColor="followedHyperlink"/>
      <w:u w:val="single"/>
    </w:rPr>
  </w:style>
  <w:style w:type="paragraph" w:styleId="NormalWeb">
    <w:name w:val="Normal (Web)"/>
    <w:basedOn w:val="Normal"/>
    <w:uiPriority w:val="99"/>
    <w:semiHidden/>
    <w:unhideWhenUsed/>
    <w:rsid w:val="003D184C"/>
    <w:pPr>
      <w:spacing w:after="0" w:line="240" w:lineRule="auto"/>
    </w:pPr>
    <w:rPr>
      <w:rFonts w:ascii="Times New Roman" w:hAnsi="Times New Roman" w:cs="Times New Roman"/>
      <w:sz w:val="24"/>
      <w:szCs w:val="24"/>
      <w:lang w:eastAsia="en-AU"/>
    </w:rPr>
  </w:style>
  <w:style w:type="character" w:styleId="Emphasis">
    <w:name w:val="Emphasis"/>
    <w:basedOn w:val="DefaultParagraphFont"/>
    <w:uiPriority w:val="20"/>
    <w:qFormat/>
    <w:rsid w:val="003D184C"/>
    <w:rPr>
      <w:i/>
      <w:iCs/>
    </w:rPr>
  </w:style>
  <w:style w:type="character" w:customStyle="1" w:styleId="UnresolvedMention1">
    <w:name w:val="Unresolved Mention1"/>
    <w:basedOn w:val="DefaultParagraphFont"/>
    <w:uiPriority w:val="99"/>
    <w:semiHidden/>
    <w:unhideWhenUsed/>
    <w:rsid w:val="004D4BE8"/>
    <w:rPr>
      <w:color w:val="605E5C"/>
      <w:shd w:val="clear" w:color="auto" w:fill="E1DFDD"/>
    </w:rPr>
  </w:style>
  <w:style w:type="paragraph" w:styleId="Revision">
    <w:name w:val="Revision"/>
    <w:hidden/>
    <w:uiPriority w:val="99"/>
    <w:semiHidden/>
    <w:rsid w:val="00705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B3D19D6C17E4FAF4A8A2751B3CEAD" ma:contentTypeVersion="13" ma:contentTypeDescription="Create a new document." ma:contentTypeScope="" ma:versionID="b391c4fddf5af82b6b5ad0cc43e278cb">
  <xsd:schema xmlns:xsd="http://www.w3.org/2001/XMLSchema" xmlns:xs="http://www.w3.org/2001/XMLSchema" xmlns:p="http://schemas.microsoft.com/office/2006/metadata/properties" xmlns:ns2="d67a80e2-d598-42bc-b724-285428b9233f" xmlns:ns3="12d2c3ec-7ca9-41d2-a79a-66f07aedd65b" targetNamespace="http://schemas.microsoft.com/office/2006/metadata/properties" ma:root="true" ma:fieldsID="d1d9ab137c9b6dba5e54e9d6252a4a9c" ns2:_="" ns3:_="">
    <xsd:import namespace="d67a80e2-d598-42bc-b724-285428b9233f"/>
    <xsd:import namespace="12d2c3ec-7ca9-41d2-a79a-66f07aedd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a80e2-d598-42bc-b724-285428b92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2c3ec-7ca9-41d2-a79a-66f07aedd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1E0B-2F88-492B-AB36-3F50DF44CC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817B16-1C70-4A9B-BA0B-EA8645862ED1}">
  <ds:schemaRefs>
    <ds:schemaRef ds:uri="http://schemas.microsoft.com/sharepoint/v3/contenttype/forms"/>
  </ds:schemaRefs>
</ds:datastoreItem>
</file>

<file path=customXml/itemProps3.xml><?xml version="1.0" encoding="utf-8"?>
<ds:datastoreItem xmlns:ds="http://schemas.openxmlformats.org/officeDocument/2006/customXml" ds:itemID="{4D549451-4249-4D5A-AC20-98073A46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a80e2-d598-42bc-b724-285428b9233f"/>
    <ds:schemaRef ds:uri="12d2c3ec-7ca9-41d2-a79a-66f07aedd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215ED-D5E2-4655-B90B-425C8681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Siekierka</dc:creator>
  <cp:keywords/>
  <dc:description/>
  <cp:lastModifiedBy>Chloe Papasergio</cp:lastModifiedBy>
  <cp:revision>2</cp:revision>
  <cp:lastPrinted>2020-10-07T15:04:00Z</cp:lastPrinted>
  <dcterms:created xsi:type="dcterms:W3CDTF">2020-11-11T02:21:00Z</dcterms:created>
  <dcterms:modified xsi:type="dcterms:W3CDTF">2020-11-11T02:21:00Z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0x010100F85B3D19D6C17E4FAF4A8A2751B3CEAD</vt:lpwstr>
  </property>
</Properties>
</file>