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theme/themeOverride1.xml" ContentType="application/vnd.openxmlformats-officedocument.themeOverride+xml"/>
  <Override PartName="/word/charts/colors1.xml" ContentType="application/vnd.ms-office.chartcolorstyle+xml"/>
  <Override PartName="/word/charts/style1.xml" ContentType="application/vnd.ms-office.chartstyle+xml"/>
  <Override PartName="/word/charts/chart1.xml" ContentType="application/vnd.openxmlformats-officedocument.drawingml.chart+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64BE4" w14:textId="62CD7552" w:rsidR="00CA7F75" w:rsidRPr="00FC154F" w:rsidRDefault="7DCEF4FC" w:rsidP="7DCEF4FC">
      <w:pPr>
        <w:pStyle w:val="Heading1"/>
        <w:spacing w:before="0" w:after="120" w:line="276" w:lineRule="auto"/>
        <w:rPr>
          <w:rFonts w:ascii="Arial" w:hAnsi="Arial" w:cs="Arial"/>
          <w:color w:val="C00000"/>
        </w:rPr>
      </w:pPr>
      <w:bookmarkStart w:id="0" w:name="_Hlk521315208"/>
      <w:bookmarkStart w:id="1" w:name="_Hlk521327664"/>
      <w:r w:rsidRPr="7DCEF4FC">
        <w:rPr>
          <w:rFonts w:ascii="Arial" w:hAnsi="Arial" w:cs="Arial"/>
          <w:color w:val="C0311A"/>
        </w:rPr>
        <w:t xml:space="preserve">Financial </w:t>
      </w:r>
      <w:r w:rsidR="00D75E11">
        <w:rPr>
          <w:rFonts w:ascii="Arial" w:hAnsi="Arial" w:cs="Arial"/>
          <w:color w:val="C0311A"/>
        </w:rPr>
        <w:t>M</w:t>
      </w:r>
      <w:r w:rsidRPr="7DCEF4FC">
        <w:rPr>
          <w:rFonts w:ascii="Arial" w:hAnsi="Arial" w:cs="Arial"/>
          <w:color w:val="C0311A"/>
        </w:rPr>
        <w:t>anagement</w:t>
      </w:r>
    </w:p>
    <w:bookmarkEnd w:id="0"/>
    <w:p w14:paraId="445804CB" w14:textId="77777777" w:rsidR="00B7279C" w:rsidRPr="00724366" w:rsidRDefault="7DCEF4FC" w:rsidP="7DCEF4FC">
      <w:pPr>
        <w:spacing w:after="120" w:line="276" w:lineRule="auto"/>
        <w:jc w:val="both"/>
        <w:rPr>
          <w:rFonts w:ascii="Arial" w:hAnsi="Arial" w:cs="Arial"/>
          <w:sz w:val="24"/>
          <w:szCs w:val="24"/>
        </w:rPr>
      </w:pPr>
      <w:r w:rsidRPr="7DCEF4FC">
        <w:rPr>
          <w:rFonts w:ascii="Arial" w:hAnsi="Arial" w:cs="Arial"/>
          <w:sz w:val="24"/>
          <w:szCs w:val="24"/>
        </w:rPr>
        <w:t xml:space="preserve">Our vision is for the local government sector to be agile, smart and inclusive. </w:t>
      </w:r>
    </w:p>
    <w:p w14:paraId="7FBCC220" w14:textId="77777777" w:rsidR="00B7279C" w:rsidRPr="00724366" w:rsidRDefault="7DCEF4FC" w:rsidP="7DCEF4FC">
      <w:pPr>
        <w:spacing w:after="120" w:line="276" w:lineRule="auto"/>
        <w:jc w:val="both"/>
        <w:rPr>
          <w:rFonts w:ascii="Arial" w:hAnsi="Arial" w:cs="Arial"/>
          <w:sz w:val="24"/>
          <w:szCs w:val="24"/>
        </w:rPr>
      </w:pPr>
      <w:r w:rsidRPr="7DCEF4FC">
        <w:rPr>
          <w:rFonts w:ascii="Arial" w:hAnsi="Arial" w:cs="Arial"/>
          <w:sz w:val="24"/>
          <w:szCs w:val="24"/>
        </w:rPr>
        <w:t>Our objective is to reform local government so that it is empowered to better deliver quality governance and services to their communities now and into the future.</w:t>
      </w:r>
    </w:p>
    <w:p w14:paraId="0770326D" w14:textId="77777777" w:rsidR="00B7279C" w:rsidRPr="00724366" w:rsidRDefault="7DCEF4FC" w:rsidP="7DCEF4FC">
      <w:pPr>
        <w:jc w:val="both"/>
        <w:rPr>
          <w:rFonts w:ascii="Arial" w:hAnsi="Arial" w:cs="Arial"/>
          <w:sz w:val="24"/>
          <w:szCs w:val="24"/>
        </w:rPr>
      </w:pPr>
      <w:r w:rsidRPr="7DCEF4FC">
        <w:rPr>
          <w:rFonts w:ascii="Arial" w:hAnsi="Arial" w:cs="Arial"/>
          <w:sz w:val="24"/>
          <w:szCs w:val="24"/>
        </w:rPr>
        <w:t>A new Local Government Act will be drafted, Transforming Local Government.</w:t>
      </w:r>
    </w:p>
    <w:p w14:paraId="09C3572D" w14:textId="77777777" w:rsidR="00EB1040" w:rsidRPr="00724366" w:rsidRDefault="7DCEF4FC" w:rsidP="7DCEF4FC">
      <w:pPr>
        <w:spacing w:after="120" w:line="276" w:lineRule="auto"/>
        <w:jc w:val="both"/>
        <w:rPr>
          <w:rFonts w:ascii="Arial" w:hAnsi="Arial" w:cs="Arial"/>
          <w:sz w:val="24"/>
          <w:szCs w:val="24"/>
        </w:rPr>
      </w:pPr>
      <w:r w:rsidRPr="7DCEF4FC">
        <w:rPr>
          <w:rFonts w:ascii="Arial" w:hAnsi="Arial" w:cs="Arial"/>
          <w:sz w:val="24"/>
          <w:szCs w:val="24"/>
        </w:rPr>
        <w:t>Agile includes topics that focus specifically on how local governments can best use their resources. It is important that they are transparent and accountable to their communities, while striking a balance between community expectations and the practical limitations of revenue and expenditure.</w:t>
      </w:r>
    </w:p>
    <w:p w14:paraId="5805CCB3" w14:textId="77777777" w:rsidR="00CA7F75" w:rsidRPr="00724366" w:rsidRDefault="7DCEF4FC" w:rsidP="7DCEF4FC">
      <w:pPr>
        <w:spacing w:after="120" w:line="276" w:lineRule="auto"/>
        <w:jc w:val="both"/>
        <w:rPr>
          <w:rFonts w:ascii="Arial" w:hAnsi="Arial" w:cs="Arial"/>
          <w:sz w:val="24"/>
          <w:szCs w:val="24"/>
        </w:rPr>
      </w:pPr>
      <w:r w:rsidRPr="7DCEF4FC">
        <w:rPr>
          <w:rFonts w:ascii="Arial" w:hAnsi="Arial" w:cs="Arial"/>
          <w:sz w:val="24"/>
          <w:szCs w:val="24"/>
        </w:rPr>
        <w:t>The topics addressed in this theme are:</w:t>
      </w:r>
    </w:p>
    <w:p w14:paraId="718AE2CA" w14:textId="4AC72508" w:rsidR="00CA7F75" w:rsidRPr="00724366" w:rsidRDefault="7DCEF4FC" w:rsidP="7DCEF4FC">
      <w:pPr>
        <w:pStyle w:val="ListParagraph"/>
        <w:numPr>
          <w:ilvl w:val="0"/>
          <w:numId w:val="26"/>
        </w:numPr>
        <w:spacing w:after="120" w:line="276" w:lineRule="auto"/>
        <w:jc w:val="both"/>
        <w:rPr>
          <w:rFonts w:ascii="Arial" w:hAnsi="Arial" w:cs="Arial"/>
          <w:sz w:val="24"/>
          <w:szCs w:val="24"/>
        </w:rPr>
      </w:pPr>
      <w:r w:rsidRPr="7DCEF4FC">
        <w:rPr>
          <w:rFonts w:ascii="Arial" w:hAnsi="Arial" w:cs="Arial"/>
          <w:sz w:val="24"/>
          <w:szCs w:val="24"/>
        </w:rPr>
        <w:t>Financial management;</w:t>
      </w:r>
    </w:p>
    <w:p w14:paraId="782B5192" w14:textId="24FD91D7" w:rsidR="00CA7F75" w:rsidRPr="00724366" w:rsidRDefault="7DCEF4FC" w:rsidP="7DCEF4FC">
      <w:pPr>
        <w:pStyle w:val="ListParagraph"/>
        <w:numPr>
          <w:ilvl w:val="0"/>
          <w:numId w:val="26"/>
        </w:numPr>
        <w:spacing w:after="120" w:line="276" w:lineRule="auto"/>
        <w:jc w:val="both"/>
        <w:rPr>
          <w:rFonts w:ascii="Arial" w:hAnsi="Arial" w:cs="Arial"/>
          <w:sz w:val="24"/>
          <w:szCs w:val="24"/>
        </w:rPr>
      </w:pPr>
      <w:r w:rsidRPr="7DCEF4FC">
        <w:rPr>
          <w:rFonts w:ascii="Arial" w:hAnsi="Arial" w:cs="Arial"/>
          <w:sz w:val="24"/>
          <w:szCs w:val="24"/>
        </w:rPr>
        <w:t>Rates, fees and charges; and</w:t>
      </w:r>
    </w:p>
    <w:p w14:paraId="30E54759" w14:textId="44731939" w:rsidR="00CA7F75" w:rsidRPr="00724366" w:rsidRDefault="7DCEF4FC" w:rsidP="7DCEF4FC">
      <w:pPr>
        <w:pStyle w:val="ListParagraph"/>
        <w:numPr>
          <w:ilvl w:val="0"/>
          <w:numId w:val="26"/>
        </w:numPr>
        <w:spacing w:after="120" w:line="276" w:lineRule="auto"/>
        <w:jc w:val="both"/>
        <w:rPr>
          <w:rFonts w:ascii="Arial" w:hAnsi="Arial" w:cs="Arial"/>
          <w:sz w:val="24"/>
          <w:szCs w:val="24"/>
        </w:rPr>
      </w:pPr>
      <w:r w:rsidRPr="7DCEF4FC">
        <w:rPr>
          <w:rFonts w:ascii="Arial" w:hAnsi="Arial" w:cs="Arial"/>
          <w:sz w:val="24"/>
          <w:szCs w:val="24"/>
        </w:rPr>
        <w:t>Beneficial enterprises.</w:t>
      </w:r>
    </w:p>
    <w:p w14:paraId="0E49C9B0" w14:textId="77777777" w:rsidR="00CA7F75" w:rsidRPr="00867B6D" w:rsidRDefault="7DCEF4FC" w:rsidP="7DCEF4FC">
      <w:pPr>
        <w:spacing w:after="120" w:line="276" w:lineRule="auto"/>
        <w:rPr>
          <w:rFonts w:ascii="Arial" w:hAnsi="Arial" w:cs="Arial"/>
          <w:b/>
          <w:bCs/>
          <w:color w:val="595959" w:themeColor="text1" w:themeTint="A6"/>
          <w:sz w:val="24"/>
          <w:szCs w:val="24"/>
        </w:rPr>
      </w:pPr>
      <w:r w:rsidRPr="7DCEF4FC">
        <w:rPr>
          <w:rFonts w:ascii="Arial" w:hAnsi="Arial" w:cs="Arial"/>
          <w:b/>
          <w:bCs/>
          <w:color w:val="595959" w:themeColor="text1" w:themeTint="A6"/>
          <w:sz w:val="24"/>
          <w:szCs w:val="24"/>
        </w:rPr>
        <w:t>Have your say!</w:t>
      </w:r>
    </w:p>
    <w:p w14:paraId="3FCB2693" w14:textId="77777777" w:rsidR="00CA7F75" w:rsidRPr="00867B6D" w:rsidRDefault="7DCEF4FC" w:rsidP="7DCEF4FC">
      <w:pPr>
        <w:spacing w:after="120" w:line="276" w:lineRule="auto"/>
        <w:jc w:val="both"/>
        <w:rPr>
          <w:rFonts w:ascii="Arial" w:hAnsi="Arial" w:cs="Arial"/>
          <w:sz w:val="24"/>
          <w:szCs w:val="24"/>
        </w:rPr>
      </w:pPr>
      <w:r w:rsidRPr="7DCEF4FC">
        <w:rPr>
          <w:rFonts w:ascii="Arial" w:hAnsi="Arial" w:cs="Arial"/>
          <w:sz w:val="24"/>
          <w:szCs w:val="24"/>
        </w:rPr>
        <w:t>We need your input to inform how local government will work for future generations.</w:t>
      </w:r>
    </w:p>
    <w:p w14:paraId="6F93B3BC" w14:textId="77777777" w:rsidR="00CA7F75" w:rsidRPr="00867B6D" w:rsidRDefault="7DCEF4FC" w:rsidP="7DCEF4FC">
      <w:pPr>
        <w:spacing w:after="120" w:line="276" w:lineRule="auto"/>
        <w:jc w:val="both"/>
        <w:rPr>
          <w:rFonts w:ascii="Arial" w:hAnsi="Arial" w:cs="Arial"/>
          <w:b/>
          <w:bCs/>
          <w:color w:val="595959" w:themeColor="text1" w:themeTint="A6"/>
          <w:sz w:val="24"/>
          <w:szCs w:val="24"/>
        </w:rPr>
      </w:pPr>
      <w:r w:rsidRPr="7DCEF4FC">
        <w:rPr>
          <w:rFonts w:ascii="Arial" w:hAnsi="Arial" w:cs="Arial"/>
          <w:b/>
          <w:bCs/>
          <w:color w:val="595959" w:themeColor="text1" w:themeTint="A6"/>
          <w:sz w:val="24"/>
          <w:szCs w:val="24"/>
        </w:rPr>
        <w:t>Submissions</w:t>
      </w:r>
    </w:p>
    <w:p w14:paraId="10632770" w14:textId="77777777" w:rsidR="00CA7F75" w:rsidRPr="00867B6D" w:rsidRDefault="7DCEF4FC" w:rsidP="7DCEF4FC">
      <w:pPr>
        <w:spacing w:after="120" w:line="276" w:lineRule="auto"/>
        <w:jc w:val="both"/>
        <w:rPr>
          <w:rFonts w:ascii="Arial" w:hAnsi="Arial" w:cs="Arial"/>
          <w:sz w:val="24"/>
          <w:szCs w:val="24"/>
        </w:rPr>
      </w:pPr>
      <w:r w:rsidRPr="7DCEF4FC">
        <w:rPr>
          <w:rFonts w:ascii="Arial" w:hAnsi="Arial" w:cs="Arial"/>
          <w:sz w:val="24"/>
          <w:szCs w:val="24"/>
        </w:rPr>
        <w:t xml:space="preserve">The simplest way to have your say is to answer the questions via the online surveys.  </w:t>
      </w:r>
    </w:p>
    <w:p w14:paraId="46ECBC25" w14:textId="77777777" w:rsidR="00B43912" w:rsidRDefault="7DCEF4FC" w:rsidP="7DCEF4FC">
      <w:pPr>
        <w:spacing w:after="120" w:line="276" w:lineRule="auto"/>
        <w:jc w:val="both"/>
        <w:rPr>
          <w:rFonts w:ascii="Arial" w:hAnsi="Arial" w:cs="Arial"/>
          <w:sz w:val="24"/>
          <w:szCs w:val="24"/>
        </w:rPr>
      </w:pPr>
      <w:r w:rsidRPr="7DCEF4FC">
        <w:rPr>
          <w:rFonts w:ascii="Arial" w:hAnsi="Arial" w:cs="Arial"/>
          <w:sz w:val="24"/>
          <w:szCs w:val="24"/>
        </w:rPr>
        <w:t xml:space="preserve">The survey questions relate to the matters discussed in the papers and we encourage you to read the relevant paper before completing the survey. </w:t>
      </w:r>
    </w:p>
    <w:p w14:paraId="02FAA3B9" w14:textId="77777777" w:rsidR="00CA7F75" w:rsidRPr="00867B6D" w:rsidRDefault="7DCEF4FC" w:rsidP="7DCEF4FC">
      <w:pPr>
        <w:spacing w:after="120" w:line="276" w:lineRule="auto"/>
        <w:jc w:val="both"/>
        <w:rPr>
          <w:rFonts w:ascii="Arial" w:hAnsi="Arial" w:cs="Arial"/>
          <w:sz w:val="24"/>
          <w:szCs w:val="24"/>
        </w:rPr>
      </w:pPr>
      <w:r w:rsidRPr="7DCEF4FC">
        <w:rPr>
          <w:rFonts w:ascii="Arial" w:hAnsi="Arial" w:cs="Arial"/>
          <w:sz w:val="24"/>
          <w:szCs w:val="24"/>
        </w:rPr>
        <w:t xml:space="preserve">While you may lodge multiple written submissions via email at </w:t>
      </w:r>
      <w:hyperlink r:id="rId11">
        <w:r w:rsidRPr="7DCEF4FC">
          <w:rPr>
            <w:rStyle w:val="Hyperlink"/>
            <w:rFonts w:cs="Arial"/>
          </w:rPr>
          <w:t>actreview@dlgsc.wa.gov.au</w:t>
        </w:r>
      </w:hyperlink>
      <w:r w:rsidRPr="7DCEF4FC">
        <w:rPr>
          <w:rFonts w:ascii="Arial" w:hAnsi="Arial" w:cs="Arial"/>
          <w:sz w:val="24"/>
          <w:szCs w:val="24"/>
        </w:rPr>
        <w:t>, you will only be able to complete each online topic survey once. The public submission period closes on 31 March 2019. This is the last day that you will be able to respond to the surveys.</w:t>
      </w:r>
    </w:p>
    <w:p w14:paraId="6467A03C" w14:textId="77777777" w:rsidR="00CA7F75" w:rsidRDefault="7DCEF4FC" w:rsidP="7DCEF4FC">
      <w:pPr>
        <w:spacing w:after="120" w:line="276" w:lineRule="auto"/>
        <w:jc w:val="both"/>
        <w:rPr>
          <w:rFonts w:ascii="Arial" w:hAnsi="Arial" w:cs="Arial"/>
          <w:sz w:val="24"/>
          <w:szCs w:val="24"/>
        </w:rPr>
      </w:pPr>
      <w:r w:rsidRPr="7DCEF4FC">
        <w:rPr>
          <w:rFonts w:ascii="Arial" w:hAnsi="Arial" w:cs="Arial"/>
          <w:b/>
          <w:bCs/>
          <w:sz w:val="24"/>
          <w:szCs w:val="24"/>
        </w:rPr>
        <w:t>Note</w:t>
      </w:r>
      <w:r w:rsidRPr="7DCEF4FC">
        <w:rPr>
          <w:rFonts w:ascii="Arial" w:hAnsi="Arial" w:cs="Arial"/>
          <w:sz w:val="24"/>
          <w:szCs w:val="24"/>
        </w:rPr>
        <w:t>: Unless marked as confidential, your submission (including survey responses) will be made public and published in full on the Department of Local Government, Sport and Cultural Industries’ (the Department) website. Submissions that contain defamatory or offensive material will not be published.</w:t>
      </w:r>
    </w:p>
    <w:p w14:paraId="79C06FCE" w14:textId="77777777" w:rsidR="00CA7F75" w:rsidRPr="00FC154F" w:rsidRDefault="7DCEF4FC" w:rsidP="7DCEF4FC">
      <w:pPr>
        <w:pStyle w:val="Heading1"/>
        <w:spacing w:before="0" w:after="120" w:line="276" w:lineRule="auto"/>
        <w:rPr>
          <w:rFonts w:ascii="Arial" w:hAnsi="Arial" w:cs="Arial"/>
          <w:color w:val="C00000"/>
        </w:rPr>
      </w:pPr>
      <w:bookmarkStart w:id="2" w:name="_Toc520440295"/>
      <w:bookmarkEnd w:id="1"/>
      <w:r w:rsidRPr="7DCEF4FC">
        <w:rPr>
          <w:rFonts w:ascii="Arial" w:hAnsi="Arial" w:cs="Arial"/>
          <w:color w:val="C0311A"/>
        </w:rPr>
        <w:lastRenderedPageBreak/>
        <w:t>Introduction</w:t>
      </w:r>
      <w:bookmarkEnd w:id="2"/>
    </w:p>
    <w:p w14:paraId="668E1C9B" w14:textId="022A23A4" w:rsidR="00CA7F75" w:rsidRPr="00724366" w:rsidRDefault="7DCEF4FC" w:rsidP="7DCEF4FC">
      <w:pPr>
        <w:spacing w:after="120" w:line="276" w:lineRule="auto"/>
        <w:jc w:val="both"/>
        <w:rPr>
          <w:rFonts w:ascii="Arial" w:hAnsi="Arial" w:cs="Arial"/>
          <w:sz w:val="24"/>
          <w:szCs w:val="24"/>
        </w:rPr>
      </w:pPr>
      <w:r w:rsidRPr="7DCEF4FC">
        <w:rPr>
          <w:rFonts w:ascii="Arial" w:hAnsi="Arial" w:cs="Arial"/>
          <w:sz w:val="24"/>
          <w:szCs w:val="24"/>
        </w:rPr>
        <w:t>The local government sector’s operating expenditure exceeds $4 billion annually and local governments manage an asset base worth more than $40 billion. To deliver services efficiently and effectively, local governments must be prudent users of public funds. Local governments must be transparent and accountable and strike a balance between community expectations and the practical limitations of revenue and expenditure.</w:t>
      </w:r>
    </w:p>
    <w:p w14:paraId="4B86D083" w14:textId="31CD4E23" w:rsidR="00996EE2" w:rsidRPr="00724366" w:rsidRDefault="7DCEF4FC" w:rsidP="7DCEF4FC">
      <w:pPr>
        <w:spacing w:after="120" w:line="276" w:lineRule="auto"/>
        <w:rPr>
          <w:rFonts w:ascii="Arial" w:hAnsi="Arial" w:cs="Arial"/>
          <w:sz w:val="24"/>
          <w:szCs w:val="24"/>
        </w:rPr>
      </w:pPr>
      <w:r w:rsidRPr="7DCEF4FC">
        <w:rPr>
          <w:rFonts w:ascii="Arial" w:hAnsi="Arial" w:cs="Arial"/>
          <w:sz w:val="24"/>
          <w:szCs w:val="24"/>
        </w:rPr>
        <w:t xml:space="preserve">There are </w:t>
      </w:r>
      <w:proofErr w:type="gramStart"/>
      <w:r w:rsidRPr="7DCEF4FC">
        <w:rPr>
          <w:rFonts w:ascii="Arial" w:hAnsi="Arial" w:cs="Arial"/>
          <w:sz w:val="24"/>
          <w:szCs w:val="24"/>
        </w:rPr>
        <w:t>a number of</w:t>
      </w:r>
      <w:proofErr w:type="gramEnd"/>
      <w:r w:rsidRPr="7DCEF4FC">
        <w:rPr>
          <w:rFonts w:ascii="Arial" w:hAnsi="Arial" w:cs="Arial"/>
          <w:sz w:val="24"/>
          <w:szCs w:val="24"/>
        </w:rPr>
        <w:t xml:space="preserve"> accountability measures in place to provide financial oversight of local governments, including:</w:t>
      </w:r>
    </w:p>
    <w:p w14:paraId="0DFA14E0" w14:textId="42B91F34" w:rsidR="00996EE2" w:rsidRPr="00724366" w:rsidRDefault="7DCEF4FC" w:rsidP="7DCEF4FC">
      <w:pPr>
        <w:numPr>
          <w:ilvl w:val="0"/>
          <w:numId w:val="36"/>
        </w:numPr>
        <w:spacing w:after="120" w:line="276" w:lineRule="auto"/>
        <w:contextualSpacing/>
        <w:rPr>
          <w:rFonts w:ascii="Arial" w:hAnsi="Arial" w:cs="Arial"/>
          <w:sz w:val="24"/>
          <w:szCs w:val="24"/>
        </w:rPr>
      </w:pPr>
      <w:r w:rsidRPr="7DCEF4FC">
        <w:rPr>
          <w:rFonts w:ascii="Arial" w:hAnsi="Arial" w:cs="Arial"/>
          <w:sz w:val="24"/>
          <w:szCs w:val="24"/>
        </w:rPr>
        <w:t>The Office of the Auditor General, which is taking responsibility for local government audits following the introduction of the legislation in 2017;</w:t>
      </w:r>
    </w:p>
    <w:p w14:paraId="4DFF7C56" w14:textId="30008305" w:rsidR="00996EE2" w:rsidRPr="00724366" w:rsidRDefault="7DCEF4FC" w:rsidP="7DCEF4FC">
      <w:pPr>
        <w:numPr>
          <w:ilvl w:val="0"/>
          <w:numId w:val="36"/>
        </w:numPr>
        <w:spacing w:after="120" w:line="276" w:lineRule="auto"/>
        <w:contextualSpacing/>
        <w:rPr>
          <w:rFonts w:ascii="Arial" w:hAnsi="Arial" w:cs="Arial"/>
          <w:sz w:val="24"/>
          <w:szCs w:val="24"/>
        </w:rPr>
      </w:pPr>
      <w:r w:rsidRPr="7DCEF4FC">
        <w:rPr>
          <w:rFonts w:ascii="Arial" w:hAnsi="Arial" w:cs="Arial"/>
          <w:sz w:val="24"/>
          <w:szCs w:val="24"/>
        </w:rPr>
        <w:t>The requirement to give public notice for rates and other financial matters;</w:t>
      </w:r>
    </w:p>
    <w:p w14:paraId="5D51DA77" w14:textId="2ECFC518" w:rsidR="00996EE2" w:rsidRPr="00724366" w:rsidRDefault="7DCEF4FC" w:rsidP="7DCEF4FC">
      <w:pPr>
        <w:numPr>
          <w:ilvl w:val="0"/>
          <w:numId w:val="36"/>
        </w:numPr>
        <w:spacing w:after="120" w:line="276" w:lineRule="auto"/>
        <w:contextualSpacing/>
        <w:rPr>
          <w:rFonts w:ascii="Arial" w:hAnsi="Arial" w:cs="Arial"/>
          <w:sz w:val="24"/>
          <w:szCs w:val="24"/>
        </w:rPr>
      </w:pPr>
      <w:r w:rsidRPr="7DCEF4FC">
        <w:rPr>
          <w:rFonts w:ascii="Arial" w:hAnsi="Arial" w:cs="Arial"/>
          <w:sz w:val="24"/>
          <w:szCs w:val="24"/>
        </w:rPr>
        <w:t>Publication of annual reports (it is proposed to make these available online); and</w:t>
      </w:r>
    </w:p>
    <w:p w14:paraId="3135B921" w14:textId="1AB353D1" w:rsidR="00FA6B91" w:rsidRDefault="7DCEF4FC" w:rsidP="7DCEF4FC">
      <w:pPr>
        <w:numPr>
          <w:ilvl w:val="0"/>
          <w:numId w:val="36"/>
        </w:numPr>
        <w:spacing w:after="120" w:line="276" w:lineRule="auto"/>
        <w:contextualSpacing/>
        <w:rPr>
          <w:rFonts w:ascii="Arial" w:hAnsi="Arial" w:cs="Arial"/>
          <w:sz w:val="24"/>
          <w:szCs w:val="24"/>
        </w:rPr>
      </w:pPr>
      <w:r w:rsidRPr="7DCEF4FC">
        <w:rPr>
          <w:rFonts w:ascii="Arial" w:hAnsi="Arial" w:cs="Arial"/>
          <w:sz w:val="24"/>
          <w:szCs w:val="24"/>
        </w:rPr>
        <w:t xml:space="preserve">MyCouncil website which provides a geographic, demographic and financial snapshot of each local government. </w:t>
      </w:r>
    </w:p>
    <w:p w14:paraId="6CA33611" w14:textId="77777777" w:rsidR="00724366" w:rsidRPr="00724366" w:rsidRDefault="00724366" w:rsidP="00724366">
      <w:pPr>
        <w:spacing w:after="120" w:line="276" w:lineRule="auto"/>
        <w:ind w:left="720"/>
        <w:contextualSpacing/>
        <w:rPr>
          <w:rFonts w:ascii="Arial" w:hAnsi="Arial" w:cs="Arial"/>
          <w:sz w:val="24"/>
        </w:rPr>
      </w:pPr>
    </w:p>
    <w:p w14:paraId="74EC605D" w14:textId="664772BA" w:rsidR="00CA7F75" w:rsidRPr="00724366" w:rsidRDefault="7DCEF4FC" w:rsidP="7DCEF4FC">
      <w:pPr>
        <w:spacing w:after="120" w:line="276" w:lineRule="auto"/>
        <w:jc w:val="both"/>
        <w:rPr>
          <w:rFonts w:ascii="Arial" w:hAnsi="Arial" w:cs="Arial"/>
          <w:sz w:val="24"/>
          <w:szCs w:val="24"/>
        </w:rPr>
      </w:pPr>
      <w:r w:rsidRPr="7DCEF4FC">
        <w:rPr>
          <w:rFonts w:ascii="Arial" w:hAnsi="Arial" w:cs="Arial"/>
          <w:sz w:val="24"/>
          <w:szCs w:val="24"/>
        </w:rPr>
        <w:t xml:space="preserve">Local government revenue is principally drawn from rates, fees and charges, and grants from the State and Commonwealth Governments. Financial Assistance Grants from the Commonwealth, administered by the Local Government Grants Commission comprise approximately 40% of the grants received by the local government sector, with the remaining 60% allocated from State Government grant programs. In the last two years, rates have made up approximately 55% of local government operating revenue, with grants from the State and Commonwealth Government making up around 15% of local government operating revenue. </w:t>
      </w:r>
    </w:p>
    <w:p w14:paraId="2B39CBDE" w14:textId="77777777" w:rsidR="00CA7F75" w:rsidRPr="00FC154F" w:rsidRDefault="00CA7F75" w:rsidP="00CA7F75">
      <w:pPr>
        <w:spacing w:after="120" w:line="276" w:lineRule="auto"/>
        <w:jc w:val="center"/>
        <w:rPr>
          <w:rFonts w:ascii="Arial" w:hAnsi="Arial" w:cs="Arial"/>
        </w:rPr>
      </w:pPr>
      <w:r w:rsidRPr="00FC154F">
        <w:rPr>
          <w:rFonts w:ascii="Arial" w:hAnsi="Arial" w:cs="Arial"/>
          <w:noProof/>
          <w:lang w:eastAsia="en-AU"/>
        </w:rPr>
        <w:drawing>
          <wp:inline distT="0" distB="0" distL="0" distR="0" wp14:anchorId="0DE3F681" wp14:editId="7D747C11">
            <wp:extent cx="4162567" cy="2524836"/>
            <wp:effectExtent l="0" t="0" r="9525" b="8890"/>
            <wp:docPr id="2" name="Chart 2">
              <a:extLst xmlns:a="http://schemas.openxmlformats.org/drawingml/2006/main">
                <a:ext uri="{FF2B5EF4-FFF2-40B4-BE49-F238E27FC236}">
                  <a16:creationId xmlns:a16="http://schemas.microsoft.com/office/drawing/2014/main" id="{E073053B-19FE-45C6-A70F-AA469E6D5E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34ED5B1" w14:textId="77777777" w:rsidR="00CA7F75" w:rsidRPr="00FC154F" w:rsidRDefault="00CA7F75" w:rsidP="00CA7F75">
      <w:pPr>
        <w:spacing w:after="120" w:line="276" w:lineRule="auto"/>
        <w:rPr>
          <w:rFonts w:ascii="Arial" w:hAnsi="Arial" w:cs="Arial"/>
        </w:rPr>
      </w:pPr>
    </w:p>
    <w:p w14:paraId="6268E388" w14:textId="77777777" w:rsidR="00CA7F75" w:rsidRPr="00FC154F" w:rsidRDefault="00CA7F75" w:rsidP="00CA7F75">
      <w:pPr>
        <w:spacing w:after="120" w:line="276" w:lineRule="auto"/>
        <w:jc w:val="center"/>
        <w:rPr>
          <w:rFonts w:ascii="Arial" w:hAnsi="Arial" w:cs="Arial"/>
        </w:rPr>
      </w:pPr>
      <w:r w:rsidRPr="00FC154F">
        <w:rPr>
          <w:rFonts w:ascii="Arial" w:hAnsi="Arial" w:cs="Arial"/>
          <w:noProof/>
          <w:lang w:eastAsia="en-AU"/>
        </w:rPr>
        <w:lastRenderedPageBreak/>
        <w:drawing>
          <wp:inline distT="0" distB="0" distL="0" distR="0" wp14:anchorId="78C883C5" wp14:editId="3F74167A">
            <wp:extent cx="4217158" cy="2224585"/>
            <wp:effectExtent l="0" t="0" r="12065" b="4445"/>
            <wp:docPr id="3" name="Chart 3">
              <a:extLst xmlns:a="http://schemas.openxmlformats.org/drawingml/2006/main">
                <a:ext uri="{FF2B5EF4-FFF2-40B4-BE49-F238E27FC236}">
                  <a16:creationId xmlns:a16="http://schemas.microsoft.com/office/drawing/2014/main" id="{2DAEA803-4415-4366-BB6A-22EE481F97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CEDB863" w14:textId="77777777" w:rsidR="00CA7F75" w:rsidRPr="00FC154F" w:rsidRDefault="00CA7F75" w:rsidP="00CA7F75">
      <w:pPr>
        <w:spacing w:after="120" w:line="276" w:lineRule="auto"/>
        <w:rPr>
          <w:rFonts w:ascii="Arial" w:hAnsi="Arial" w:cs="Arial"/>
        </w:rPr>
      </w:pPr>
    </w:p>
    <w:p w14:paraId="76C7A1F3" w14:textId="04756F3A" w:rsidR="00CA7F75" w:rsidRPr="00724366" w:rsidRDefault="7DCEF4FC" w:rsidP="7DCEF4FC">
      <w:pPr>
        <w:spacing w:after="120" w:line="276" w:lineRule="auto"/>
        <w:jc w:val="both"/>
        <w:rPr>
          <w:rFonts w:ascii="Arial" w:hAnsi="Arial" w:cs="Arial"/>
          <w:sz w:val="24"/>
          <w:szCs w:val="24"/>
        </w:rPr>
      </w:pPr>
      <w:r w:rsidRPr="7DCEF4FC">
        <w:rPr>
          <w:rFonts w:ascii="Arial" w:hAnsi="Arial" w:cs="Arial"/>
          <w:sz w:val="24"/>
          <w:szCs w:val="24"/>
        </w:rPr>
        <w:t>The split in revenue sources varies considerably across the State which reflects the diversity of local government. In 2016-17, grants from the State and Commonwealth were the primary source of funding for 27% of the State’s local governments.  In over half of the State’s local governments, revenue from State and Commonwealth grants made up more than one-third of their total operating income.</w:t>
      </w:r>
    </w:p>
    <w:p w14:paraId="639CEE5F" w14:textId="77777777" w:rsidR="00CA7F75" w:rsidRPr="00724366" w:rsidRDefault="7DCEF4FC" w:rsidP="7DCEF4FC">
      <w:pPr>
        <w:spacing w:after="120" w:line="276" w:lineRule="auto"/>
        <w:jc w:val="both"/>
        <w:rPr>
          <w:rFonts w:ascii="Arial" w:hAnsi="Arial" w:cs="Arial"/>
          <w:sz w:val="24"/>
          <w:szCs w:val="24"/>
        </w:rPr>
      </w:pPr>
      <w:r w:rsidRPr="7DCEF4FC">
        <w:rPr>
          <w:rFonts w:ascii="Arial" w:hAnsi="Arial" w:cs="Arial"/>
          <w:sz w:val="24"/>
          <w:szCs w:val="24"/>
        </w:rPr>
        <w:t>Across the sector, expenses are generally divided evenly between salaries, materials and replacement costs for assets.  Again, the proportion spent on each category varies considerably between local governments.</w:t>
      </w:r>
    </w:p>
    <w:p w14:paraId="16719F89" w14:textId="64A725C7" w:rsidR="00CA7F75" w:rsidRPr="00724366" w:rsidRDefault="7DCEF4FC" w:rsidP="7DCEF4FC">
      <w:pPr>
        <w:spacing w:after="120" w:line="276" w:lineRule="auto"/>
        <w:jc w:val="both"/>
        <w:rPr>
          <w:rFonts w:ascii="Arial" w:hAnsi="Arial" w:cs="Arial"/>
          <w:sz w:val="24"/>
          <w:szCs w:val="24"/>
        </w:rPr>
      </w:pPr>
      <w:r w:rsidRPr="7DCEF4FC">
        <w:rPr>
          <w:rFonts w:ascii="Arial" w:hAnsi="Arial" w:cs="Arial"/>
          <w:sz w:val="24"/>
          <w:szCs w:val="24"/>
        </w:rPr>
        <w:t>To manage their finances, local governments are required to prepare a budget annually. The Act requires that a local government is to, having regard for its Integrated Planning and Reporting documents, prepare an estimate of its upcoming expenditure, the revenue and income it will receive independent of rates, and the amount in rates required to make up any deficiency. This approach means that local governments are required to establish their budget by first determining the amount they wish to spend and then estimate the revenue sources required to fund this outlay.</w:t>
      </w:r>
    </w:p>
    <w:p w14:paraId="20020943" w14:textId="77777777" w:rsidR="00CA7F75" w:rsidRPr="00724366" w:rsidRDefault="7DCEF4FC" w:rsidP="7DCEF4FC">
      <w:pPr>
        <w:pStyle w:val="Heading1"/>
        <w:spacing w:before="0" w:after="120" w:line="276" w:lineRule="auto"/>
        <w:rPr>
          <w:rFonts w:ascii="Arial" w:hAnsi="Arial" w:cs="Arial"/>
          <w:color w:val="C0311A"/>
        </w:rPr>
      </w:pPr>
      <w:bookmarkStart w:id="3" w:name="_Toc520440299"/>
      <w:bookmarkStart w:id="4" w:name="_Hlk518488004"/>
      <w:r w:rsidRPr="7DCEF4FC">
        <w:rPr>
          <w:rFonts w:ascii="Arial" w:hAnsi="Arial" w:cs="Arial"/>
          <w:color w:val="C0311A"/>
        </w:rPr>
        <w:t>Investments</w:t>
      </w:r>
      <w:bookmarkEnd w:id="3"/>
    </w:p>
    <w:p w14:paraId="00EDE72D" w14:textId="159ADC70" w:rsidR="00F02268" w:rsidRPr="00724366" w:rsidRDefault="7DCEF4FC" w:rsidP="7DCEF4FC">
      <w:pPr>
        <w:spacing w:after="120" w:line="276" w:lineRule="auto"/>
        <w:jc w:val="both"/>
        <w:rPr>
          <w:rFonts w:ascii="Arial" w:hAnsi="Arial" w:cs="Arial"/>
          <w:sz w:val="24"/>
          <w:szCs w:val="24"/>
        </w:rPr>
      </w:pPr>
      <w:r w:rsidRPr="7DCEF4FC">
        <w:rPr>
          <w:rFonts w:ascii="Arial" w:hAnsi="Arial" w:cs="Arial"/>
          <w:sz w:val="24"/>
          <w:szCs w:val="24"/>
        </w:rPr>
        <w:t>Section 6.14 of the Act allows local governments to invest surplus funds.   Many local governments hold significant amounts in cash reserves, including those obtained through development contributions. To ensure the public receives the benefits of these reserves, local governments need to invest these funds wisely.</w:t>
      </w:r>
    </w:p>
    <w:p w14:paraId="092A158D" w14:textId="24B379C2" w:rsidR="00CA7F75" w:rsidRPr="00724366" w:rsidRDefault="7DCEF4FC" w:rsidP="7DCEF4FC">
      <w:pPr>
        <w:spacing w:after="120" w:line="276" w:lineRule="auto"/>
        <w:jc w:val="both"/>
        <w:rPr>
          <w:rFonts w:ascii="Arial" w:hAnsi="Arial" w:cs="Arial"/>
          <w:sz w:val="24"/>
          <w:szCs w:val="24"/>
        </w:rPr>
      </w:pPr>
      <w:r w:rsidRPr="7DCEF4FC">
        <w:rPr>
          <w:rFonts w:ascii="Arial" w:hAnsi="Arial" w:cs="Arial"/>
          <w:sz w:val="24"/>
          <w:szCs w:val="24"/>
        </w:rPr>
        <w:t xml:space="preserve">The types of investments that local governments are permitted to make are restricted by Regulation 19C of the </w:t>
      </w:r>
      <w:r w:rsidRPr="7DCEF4FC">
        <w:rPr>
          <w:rFonts w:ascii="Arial" w:hAnsi="Arial" w:cs="Arial"/>
          <w:i/>
          <w:iCs/>
          <w:sz w:val="24"/>
          <w:szCs w:val="24"/>
        </w:rPr>
        <w:t>Local Government (Financial Management) Regulations 1996</w:t>
      </w:r>
      <w:r w:rsidRPr="7DCEF4FC">
        <w:rPr>
          <w:rFonts w:ascii="Arial" w:hAnsi="Arial" w:cs="Arial"/>
          <w:sz w:val="24"/>
          <w:szCs w:val="24"/>
        </w:rPr>
        <w:t>.  This regulation states that local governments may not invest in:</w:t>
      </w:r>
    </w:p>
    <w:p w14:paraId="2E897D44" w14:textId="79D646C3" w:rsidR="00CA7F75" w:rsidRPr="00724366" w:rsidRDefault="7DCEF4FC" w:rsidP="7DCEF4FC">
      <w:pPr>
        <w:pStyle w:val="ListParagraph"/>
        <w:numPr>
          <w:ilvl w:val="0"/>
          <w:numId w:val="15"/>
        </w:numPr>
        <w:spacing w:after="120" w:line="276" w:lineRule="auto"/>
        <w:rPr>
          <w:rFonts w:ascii="Arial" w:hAnsi="Arial" w:cs="Arial"/>
          <w:sz w:val="24"/>
          <w:szCs w:val="24"/>
        </w:rPr>
      </w:pPr>
      <w:r w:rsidRPr="7DCEF4FC">
        <w:rPr>
          <w:rFonts w:ascii="Arial" w:hAnsi="Arial" w:cs="Arial"/>
          <w:sz w:val="24"/>
          <w:szCs w:val="24"/>
        </w:rPr>
        <w:t>Deposits with an institution except an authorised institution;</w:t>
      </w:r>
    </w:p>
    <w:p w14:paraId="6B9778A3" w14:textId="34A3619D" w:rsidR="00CA7F75" w:rsidRPr="00724366" w:rsidRDefault="7DCEF4FC" w:rsidP="7DCEF4FC">
      <w:pPr>
        <w:pStyle w:val="ListParagraph"/>
        <w:numPr>
          <w:ilvl w:val="0"/>
          <w:numId w:val="15"/>
        </w:numPr>
        <w:spacing w:after="120" w:line="276" w:lineRule="auto"/>
        <w:rPr>
          <w:rFonts w:ascii="Arial" w:hAnsi="Arial" w:cs="Arial"/>
          <w:sz w:val="24"/>
          <w:szCs w:val="24"/>
        </w:rPr>
      </w:pPr>
      <w:r w:rsidRPr="7DCEF4FC">
        <w:rPr>
          <w:rFonts w:ascii="Arial" w:hAnsi="Arial" w:cs="Arial"/>
          <w:sz w:val="24"/>
          <w:szCs w:val="24"/>
        </w:rPr>
        <w:t>Deposits for a fixed term of more than three years;</w:t>
      </w:r>
    </w:p>
    <w:p w14:paraId="2CFBE460" w14:textId="44342D77" w:rsidR="00CA7F75" w:rsidRPr="00724366" w:rsidRDefault="7DCEF4FC" w:rsidP="7DCEF4FC">
      <w:pPr>
        <w:pStyle w:val="ListParagraph"/>
        <w:numPr>
          <w:ilvl w:val="0"/>
          <w:numId w:val="15"/>
        </w:numPr>
        <w:spacing w:after="120" w:line="276" w:lineRule="auto"/>
        <w:rPr>
          <w:rFonts w:ascii="Arial" w:hAnsi="Arial" w:cs="Arial"/>
          <w:sz w:val="24"/>
          <w:szCs w:val="24"/>
        </w:rPr>
      </w:pPr>
      <w:r w:rsidRPr="7DCEF4FC">
        <w:rPr>
          <w:rFonts w:ascii="Arial" w:hAnsi="Arial" w:cs="Arial"/>
          <w:sz w:val="24"/>
          <w:szCs w:val="24"/>
        </w:rPr>
        <w:t>Bonds that are not guaranteed by the Commonwealth Government or a State or Territory government;</w:t>
      </w:r>
    </w:p>
    <w:p w14:paraId="567504B9" w14:textId="7D9B79D7" w:rsidR="00CA7F75" w:rsidRPr="00724366" w:rsidRDefault="7DCEF4FC" w:rsidP="7DCEF4FC">
      <w:pPr>
        <w:pStyle w:val="ListParagraph"/>
        <w:numPr>
          <w:ilvl w:val="0"/>
          <w:numId w:val="15"/>
        </w:numPr>
        <w:spacing w:after="120" w:line="276" w:lineRule="auto"/>
        <w:rPr>
          <w:rFonts w:ascii="Arial" w:hAnsi="Arial" w:cs="Arial"/>
          <w:sz w:val="24"/>
          <w:szCs w:val="24"/>
        </w:rPr>
      </w:pPr>
      <w:r w:rsidRPr="7DCEF4FC">
        <w:rPr>
          <w:rFonts w:ascii="Arial" w:hAnsi="Arial" w:cs="Arial"/>
          <w:sz w:val="24"/>
          <w:szCs w:val="24"/>
        </w:rPr>
        <w:t>Bonds with a term to maturity of more than three years; or</w:t>
      </w:r>
    </w:p>
    <w:p w14:paraId="624322D8" w14:textId="540BD42F" w:rsidR="00CA7F75" w:rsidRPr="00724366" w:rsidRDefault="7DCEF4FC" w:rsidP="7DCEF4FC">
      <w:pPr>
        <w:pStyle w:val="ListParagraph"/>
        <w:numPr>
          <w:ilvl w:val="0"/>
          <w:numId w:val="15"/>
        </w:numPr>
        <w:spacing w:after="120" w:line="276" w:lineRule="auto"/>
        <w:rPr>
          <w:rFonts w:ascii="Arial" w:hAnsi="Arial" w:cs="Arial"/>
          <w:sz w:val="24"/>
          <w:szCs w:val="24"/>
        </w:rPr>
      </w:pPr>
      <w:r w:rsidRPr="7DCEF4FC">
        <w:rPr>
          <w:rFonts w:ascii="Arial" w:hAnsi="Arial" w:cs="Arial"/>
          <w:sz w:val="24"/>
          <w:szCs w:val="24"/>
        </w:rPr>
        <w:lastRenderedPageBreak/>
        <w:t>A foreign currency.</w:t>
      </w:r>
    </w:p>
    <w:p w14:paraId="449C990D" w14:textId="77777777" w:rsidR="00CA7F75" w:rsidRPr="00724366" w:rsidRDefault="7DCEF4FC" w:rsidP="7DCEF4FC">
      <w:pPr>
        <w:spacing w:after="120" w:line="276" w:lineRule="auto"/>
        <w:rPr>
          <w:rFonts w:ascii="Arial" w:hAnsi="Arial" w:cs="Arial"/>
          <w:sz w:val="24"/>
          <w:szCs w:val="24"/>
        </w:rPr>
      </w:pPr>
      <w:r w:rsidRPr="7DCEF4FC">
        <w:rPr>
          <w:rFonts w:ascii="Arial" w:hAnsi="Arial" w:cs="Arial"/>
          <w:sz w:val="24"/>
          <w:szCs w:val="24"/>
        </w:rPr>
        <w:t>The following table indicates the investment rules in other Australian States:</w:t>
      </w:r>
    </w:p>
    <w:tbl>
      <w:tblPr>
        <w:tblStyle w:val="TableGrid"/>
        <w:tblW w:w="9209" w:type="dxa"/>
        <w:tblLayout w:type="fixed"/>
        <w:tblLook w:val="04A0" w:firstRow="1" w:lastRow="0" w:firstColumn="1" w:lastColumn="0" w:noHBand="0" w:noVBand="1"/>
      </w:tblPr>
      <w:tblGrid>
        <w:gridCol w:w="2122"/>
        <w:gridCol w:w="7087"/>
      </w:tblGrid>
      <w:tr w:rsidR="00C900CA" w:rsidRPr="00C900CA" w14:paraId="737B0164" w14:textId="77777777" w:rsidTr="7DCEF4FC">
        <w:trPr>
          <w:cnfStyle w:val="100000000000" w:firstRow="1" w:lastRow="0" w:firstColumn="0" w:lastColumn="0" w:oddVBand="0" w:evenVBand="0" w:oddHBand="0" w:evenHBand="0" w:firstRowFirstColumn="0" w:firstRowLastColumn="0" w:lastRowFirstColumn="0" w:lastRowLastColumn="0"/>
          <w:trHeight w:val="796"/>
        </w:trPr>
        <w:tc>
          <w:tcPr>
            <w:tcW w:w="2122" w:type="dxa"/>
            <w:shd w:val="clear" w:color="auto" w:fill="C0311A"/>
          </w:tcPr>
          <w:p w14:paraId="46A866BB" w14:textId="77777777" w:rsidR="00CA7F75" w:rsidRPr="008E2508" w:rsidRDefault="7DCEF4FC" w:rsidP="7DCEF4FC">
            <w:pPr>
              <w:spacing w:before="0" w:after="120" w:line="276" w:lineRule="auto"/>
              <w:rPr>
                <w:rFonts w:cs="Arial"/>
                <w:color w:val="FFFFFF" w:themeColor="background1"/>
              </w:rPr>
            </w:pPr>
            <w:r w:rsidRPr="7DCEF4FC">
              <w:rPr>
                <w:rFonts w:cs="Arial"/>
                <w:color w:val="FFFFFF" w:themeColor="background1"/>
              </w:rPr>
              <w:t>Jurisdiction</w:t>
            </w:r>
          </w:p>
        </w:tc>
        <w:tc>
          <w:tcPr>
            <w:tcW w:w="7087" w:type="dxa"/>
            <w:shd w:val="clear" w:color="auto" w:fill="C0311A"/>
          </w:tcPr>
          <w:p w14:paraId="4579FA10" w14:textId="77777777" w:rsidR="00CA7F75" w:rsidRPr="008E2508" w:rsidRDefault="7DCEF4FC" w:rsidP="7DCEF4FC">
            <w:pPr>
              <w:spacing w:before="0" w:after="120" w:line="276" w:lineRule="auto"/>
              <w:rPr>
                <w:rFonts w:cs="Arial"/>
                <w:color w:val="FFFFFF" w:themeColor="background1"/>
              </w:rPr>
            </w:pPr>
            <w:r w:rsidRPr="7DCEF4FC">
              <w:rPr>
                <w:rFonts w:cs="Arial"/>
                <w:color w:val="FFFFFF" w:themeColor="background1"/>
              </w:rPr>
              <w:t>Investment rules</w:t>
            </w:r>
          </w:p>
        </w:tc>
      </w:tr>
      <w:tr w:rsidR="00CA7F75" w:rsidRPr="00FC154F" w14:paraId="72479041" w14:textId="77777777" w:rsidTr="7DCEF4FC">
        <w:trPr>
          <w:trHeight w:val="481"/>
        </w:trPr>
        <w:tc>
          <w:tcPr>
            <w:tcW w:w="2122" w:type="dxa"/>
          </w:tcPr>
          <w:p w14:paraId="50F14167" w14:textId="77777777" w:rsidR="00CA7F75" w:rsidRPr="008E2508" w:rsidRDefault="7DCEF4FC" w:rsidP="7DCEF4FC">
            <w:pPr>
              <w:spacing w:before="0" w:after="120" w:line="276" w:lineRule="auto"/>
              <w:rPr>
                <w:rFonts w:eastAsia="Arial" w:cs="Arial"/>
              </w:rPr>
            </w:pPr>
            <w:r w:rsidRPr="7DCEF4FC">
              <w:rPr>
                <w:rFonts w:cs="Arial"/>
              </w:rPr>
              <w:t>New South Wales</w:t>
            </w:r>
          </w:p>
        </w:tc>
        <w:tc>
          <w:tcPr>
            <w:tcW w:w="7087" w:type="dxa"/>
          </w:tcPr>
          <w:p w14:paraId="5266F1CC" w14:textId="77777777" w:rsidR="00CA7F75" w:rsidRPr="008E2508" w:rsidRDefault="7DCEF4FC" w:rsidP="7DCEF4FC">
            <w:pPr>
              <w:pStyle w:val="ListParagraph"/>
              <w:spacing w:before="0" w:after="120" w:line="276" w:lineRule="auto"/>
              <w:ind w:left="0"/>
              <w:rPr>
                <w:rFonts w:cs="Arial"/>
              </w:rPr>
            </w:pPr>
            <w:r w:rsidRPr="7DCEF4FC">
              <w:rPr>
                <w:rFonts w:cs="Arial"/>
              </w:rPr>
              <w:t>Permitted investments:</w:t>
            </w:r>
          </w:p>
          <w:p w14:paraId="5256EFBB" w14:textId="5A654C5D" w:rsidR="00CA7F75" w:rsidRPr="008E2508" w:rsidRDefault="7DCEF4FC" w:rsidP="7DCEF4FC">
            <w:pPr>
              <w:pStyle w:val="ListParagraph"/>
              <w:numPr>
                <w:ilvl w:val="0"/>
                <w:numId w:val="4"/>
              </w:numPr>
              <w:spacing w:before="0" w:after="120" w:line="276" w:lineRule="auto"/>
              <w:rPr>
                <w:rFonts w:cs="Arial"/>
              </w:rPr>
            </w:pPr>
            <w:r w:rsidRPr="7DCEF4FC">
              <w:rPr>
                <w:rFonts w:cs="Arial"/>
              </w:rPr>
              <w:t>Any public funds or securities issued by or granted by the Commonwealth, any State of the Commonwealth or a Territory;</w:t>
            </w:r>
          </w:p>
          <w:p w14:paraId="6C37C3DB" w14:textId="0F7C4F42" w:rsidR="00CA7F75" w:rsidRPr="008E2508" w:rsidRDefault="7DCEF4FC" w:rsidP="7DCEF4FC">
            <w:pPr>
              <w:pStyle w:val="ListParagraph"/>
              <w:numPr>
                <w:ilvl w:val="0"/>
                <w:numId w:val="4"/>
              </w:numPr>
              <w:spacing w:before="0" w:after="120" w:line="276" w:lineRule="auto"/>
              <w:rPr>
                <w:rFonts w:cs="Arial"/>
              </w:rPr>
            </w:pPr>
            <w:r w:rsidRPr="7DCEF4FC">
              <w:rPr>
                <w:rFonts w:cs="Arial"/>
              </w:rPr>
              <w:t>Any debentures or securities issued by a council;</w:t>
            </w:r>
          </w:p>
          <w:p w14:paraId="32618A1E" w14:textId="6EF6A32F" w:rsidR="00CA7F75" w:rsidRPr="008E2508" w:rsidRDefault="7DCEF4FC" w:rsidP="7DCEF4FC">
            <w:pPr>
              <w:pStyle w:val="ListParagraph"/>
              <w:numPr>
                <w:ilvl w:val="0"/>
                <w:numId w:val="4"/>
              </w:numPr>
              <w:spacing w:before="0" w:after="120" w:line="276" w:lineRule="auto"/>
              <w:rPr>
                <w:rFonts w:cs="Arial"/>
              </w:rPr>
            </w:pPr>
            <w:r w:rsidRPr="7DCEF4FC">
              <w:rPr>
                <w:rFonts w:cs="Arial"/>
              </w:rPr>
              <w:t>Interest bearing deposits with or any debentures or bonds issued by, an authorised deposit-taking institution, but excluding subordinated debt obligations;</w:t>
            </w:r>
          </w:p>
          <w:p w14:paraId="62FC678E" w14:textId="08AEC03E" w:rsidR="00CA7F75" w:rsidRPr="008E2508" w:rsidRDefault="7DCEF4FC" w:rsidP="7DCEF4FC">
            <w:pPr>
              <w:pStyle w:val="ListParagraph"/>
              <w:numPr>
                <w:ilvl w:val="0"/>
                <w:numId w:val="4"/>
              </w:numPr>
              <w:spacing w:before="0" w:after="120" w:line="276" w:lineRule="auto"/>
              <w:rPr>
                <w:rFonts w:cs="Arial"/>
              </w:rPr>
            </w:pPr>
            <w:r w:rsidRPr="7DCEF4FC">
              <w:rPr>
                <w:rFonts w:cs="Arial"/>
              </w:rPr>
              <w:t>Any bill of exchange which has a maturity date of not more than 200 days: and if purchased for value confers the holder in due course a right of recourse against band which has been designated as an authorised deposit-taking institution by the Australian Prudential Regulation Authority; and</w:t>
            </w:r>
          </w:p>
          <w:p w14:paraId="081D9771" w14:textId="08C0124A" w:rsidR="00CA7F75" w:rsidRPr="008E2508" w:rsidRDefault="7DCEF4FC" w:rsidP="7DCEF4FC">
            <w:pPr>
              <w:pStyle w:val="ListParagraph"/>
              <w:numPr>
                <w:ilvl w:val="0"/>
                <w:numId w:val="4"/>
              </w:numPr>
              <w:spacing w:after="120" w:line="276" w:lineRule="auto"/>
              <w:rPr>
                <w:rFonts w:eastAsia="Arial" w:cs="Arial"/>
              </w:rPr>
            </w:pPr>
            <w:r w:rsidRPr="7DCEF4FC">
              <w:rPr>
                <w:rFonts w:cs="Arial"/>
              </w:rPr>
              <w:t>A deposit with the New South Wales Treasury Corporation or investments in an Hour-Glass investment facility of the New South Wales Treasury Corporation.</w:t>
            </w:r>
          </w:p>
        </w:tc>
      </w:tr>
      <w:tr w:rsidR="00CA7F75" w:rsidRPr="00FC154F" w14:paraId="11E24DD2" w14:textId="77777777" w:rsidTr="7DCEF4FC">
        <w:trPr>
          <w:trHeight w:val="481"/>
        </w:trPr>
        <w:tc>
          <w:tcPr>
            <w:tcW w:w="2122" w:type="dxa"/>
          </w:tcPr>
          <w:p w14:paraId="3E761562" w14:textId="77777777" w:rsidR="00CA7F75" w:rsidRPr="008E2508" w:rsidRDefault="7DCEF4FC" w:rsidP="7DCEF4FC">
            <w:pPr>
              <w:spacing w:before="0" w:after="120" w:line="276" w:lineRule="auto"/>
              <w:rPr>
                <w:rFonts w:cs="Arial"/>
              </w:rPr>
            </w:pPr>
            <w:r w:rsidRPr="7DCEF4FC">
              <w:rPr>
                <w:rFonts w:cs="Arial"/>
              </w:rPr>
              <w:t>Victoria</w:t>
            </w:r>
          </w:p>
        </w:tc>
        <w:tc>
          <w:tcPr>
            <w:tcW w:w="7087" w:type="dxa"/>
          </w:tcPr>
          <w:p w14:paraId="531F2F89" w14:textId="77777777" w:rsidR="00CA7F75" w:rsidRPr="008E2508" w:rsidRDefault="7DCEF4FC" w:rsidP="7DCEF4FC">
            <w:pPr>
              <w:pStyle w:val="ListParagraph"/>
              <w:spacing w:before="0" w:after="120" w:line="276" w:lineRule="auto"/>
              <w:ind w:left="0"/>
              <w:rPr>
                <w:rFonts w:eastAsiaTheme="minorEastAsia" w:cs="Arial"/>
              </w:rPr>
            </w:pPr>
            <w:r w:rsidRPr="7DCEF4FC">
              <w:rPr>
                <w:rFonts w:eastAsiaTheme="minorEastAsia" w:cs="Arial"/>
              </w:rPr>
              <w:t>Permitted investments:</w:t>
            </w:r>
          </w:p>
          <w:p w14:paraId="6E6F79ED" w14:textId="206D9595" w:rsidR="00CA7F75" w:rsidRPr="008E2508" w:rsidRDefault="7DCEF4FC" w:rsidP="7DCEF4FC">
            <w:pPr>
              <w:pStyle w:val="ListParagraph"/>
              <w:numPr>
                <w:ilvl w:val="0"/>
                <w:numId w:val="5"/>
              </w:numPr>
              <w:spacing w:before="0" w:after="120" w:line="276" w:lineRule="auto"/>
              <w:rPr>
                <w:rFonts w:eastAsiaTheme="minorEastAsia" w:cs="Arial"/>
              </w:rPr>
            </w:pPr>
            <w:r w:rsidRPr="7DCEF4FC">
              <w:rPr>
                <w:rFonts w:eastAsiaTheme="minorEastAsia" w:cs="Arial"/>
              </w:rPr>
              <w:t>In Government securities of the Commonwealth;</w:t>
            </w:r>
          </w:p>
          <w:p w14:paraId="45A56D29" w14:textId="386AF5D9" w:rsidR="00CA7F75" w:rsidRPr="008E2508" w:rsidRDefault="7DCEF4FC" w:rsidP="7DCEF4FC">
            <w:pPr>
              <w:pStyle w:val="ListParagraph"/>
              <w:numPr>
                <w:ilvl w:val="0"/>
                <w:numId w:val="5"/>
              </w:numPr>
              <w:spacing w:before="0" w:after="120" w:line="276" w:lineRule="auto"/>
              <w:rPr>
                <w:rFonts w:eastAsiaTheme="minorEastAsia" w:cs="Arial"/>
              </w:rPr>
            </w:pPr>
            <w:r w:rsidRPr="7DCEF4FC">
              <w:rPr>
                <w:rFonts w:eastAsiaTheme="minorEastAsia" w:cs="Arial"/>
              </w:rPr>
              <w:t>In securities guaranteed by the Government of Victoria;</w:t>
            </w:r>
          </w:p>
          <w:p w14:paraId="7659A5AB" w14:textId="06074EAD" w:rsidR="00CA7F75" w:rsidRPr="008E2508" w:rsidRDefault="7DCEF4FC" w:rsidP="7DCEF4FC">
            <w:pPr>
              <w:pStyle w:val="ListParagraph"/>
              <w:numPr>
                <w:ilvl w:val="0"/>
                <w:numId w:val="5"/>
              </w:numPr>
              <w:spacing w:before="0" w:after="120" w:line="276" w:lineRule="auto"/>
              <w:rPr>
                <w:rFonts w:eastAsiaTheme="minorEastAsia" w:cs="Arial"/>
              </w:rPr>
            </w:pPr>
            <w:r w:rsidRPr="7DCEF4FC">
              <w:rPr>
                <w:rFonts w:eastAsiaTheme="minorEastAsia" w:cs="Arial"/>
              </w:rPr>
              <w:t>With an authorised deposit-taking intuition;</w:t>
            </w:r>
          </w:p>
          <w:p w14:paraId="683580E9" w14:textId="4A40CAFE" w:rsidR="00CA7F75" w:rsidRPr="008E2508" w:rsidRDefault="7DCEF4FC" w:rsidP="7DCEF4FC">
            <w:pPr>
              <w:pStyle w:val="ListParagraph"/>
              <w:numPr>
                <w:ilvl w:val="0"/>
                <w:numId w:val="5"/>
              </w:numPr>
              <w:spacing w:before="0" w:after="120" w:line="276" w:lineRule="auto"/>
              <w:rPr>
                <w:rFonts w:eastAsiaTheme="minorEastAsia" w:cs="Arial"/>
              </w:rPr>
            </w:pPr>
            <w:r w:rsidRPr="7DCEF4FC">
              <w:rPr>
                <w:rFonts w:eastAsiaTheme="minorEastAsia" w:cs="Arial"/>
              </w:rPr>
              <w:t>With any financial institution guaranteed by the Government of Victoria;</w:t>
            </w:r>
          </w:p>
          <w:p w14:paraId="679F6B25" w14:textId="18BE3E0A" w:rsidR="00CA7F75" w:rsidRPr="008E2508" w:rsidRDefault="7DCEF4FC" w:rsidP="7DCEF4FC">
            <w:pPr>
              <w:pStyle w:val="ListParagraph"/>
              <w:numPr>
                <w:ilvl w:val="0"/>
                <w:numId w:val="5"/>
              </w:numPr>
              <w:spacing w:before="0" w:after="120" w:line="276" w:lineRule="auto"/>
              <w:rPr>
                <w:rFonts w:eastAsiaTheme="minorEastAsia" w:cs="Arial"/>
              </w:rPr>
            </w:pPr>
            <w:r w:rsidRPr="7DCEF4FC">
              <w:rPr>
                <w:rFonts w:eastAsiaTheme="minorEastAsia" w:cs="Arial"/>
              </w:rPr>
              <w:t xml:space="preserve">On deposit with an eligible money market dealer within the meaning of the </w:t>
            </w:r>
            <w:r w:rsidRPr="7DCEF4FC">
              <w:rPr>
                <w:rFonts w:eastAsiaTheme="minorEastAsia" w:cs="Arial"/>
                <w:i/>
                <w:iCs/>
              </w:rPr>
              <w:t>Corporations Act</w:t>
            </w:r>
            <w:r w:rsidRPr="7DCEF4FC">
              <w:rPr>
                <w:rFonts w:eastAsiaTheme="minorEastAsia" w:cs="Arial"/>
              </w:rPr>
              <w:t>; and</w:t>
            </w:r>
          </w:p>
          <w:p w14:paraId="69DE57FC" w14:textId="64090424" w:rsidR="00CA7F75" w:rsidRPr="008E2508" w:rsidRDefault="7DCEF4FC" w:rsidP="7DCEF4FC">
            <w:pPr>
              <w:pStyle w:val="ListParagraph"/>
              <w:numPr>
                <w:ilvl w:val="0"/>
                <w:numId w:val="5"/>
              </w:numPr>
              <w:spacing w:after="120" w:line="276" w:lineRule="auto"/>
              <w:rPr>
                <w:rFonts w:cs="Arial"/>
              </w:rPr>
            </w:pPr>
            <w:r w:rsidRPr="7DCEF4FC">
              <w:rPr>
                <w:rFonts w:eastAsiaTheme="minorEastAsia" w:cs="Arial"/>
              </w:rPr>
              <w:t>In any other manner approved by the Minister after consultation with the Treasurer either generally or specifically, to be an authorised manner of investment for the purposes of this section.</w:t>
            </w:r>
          </w:p>
        </w:tc>
      </w:tr>
      <w:tr w:rsidR="00CA7F75" w:rsidRPr="00FC154F" w14:paraId="08E88A8A" w14:textId="77777777" w:rsidTr="7DCEF4FC">
        <w:trPr>
          <w:trHeight w:val="481"/>
        </w:trPr>
        <w:tc>
          <w:tcPr>
            <w:tcW w:w="2122" w:type="dxa"/>
          </w:tcPr>
          <w:p w14:paraId="31D01AA7" w14:textId="77777777" w:rsidR="00CA7F75" w:rsidRPr="008E2508" w:rsidRDefault="7DCEF4FC" w:rsidP="7DCEF4FC">
            <w:pPr>
              <w:spacing w:before="0" w:after="120" w:line="276" w:lineRule="auto"/>
              <w:rPr>
                <w:rFonts w:cs="Arial"/>
              </w:rPr>
            </w:pPr>
            <w:r w:rsidRPr="7DCEF4FC">
              <w:rPr>
                <w:rFonts w:cs="Arial"/>
              </w:rPr>
              <w:t>Queensland</w:t>
            </w:r>
          </w:p>
        </w:tc>
        <w:tc>
          <w:tcPr>
            <w:tcW w:w="7087" w:type="dxa"/>
          </w:tcPr>
          <w:p w14:paraId="179B3656" w14:textId="77777777" w:rsidR="00CA7F75" w:rsidRPr="008E2508" w:rsidRDefault="7DCEF4FC" w:rsidP="7DCEF4FC">
            <w:pPr>
              <w:pStyle w:val="ListParagraph"/>
              <w:spacing w:before="0" w:after="120" w:line="276" w:lineRule="auto"/>
              <w:ind w:left="0"/>
              <w:rPr>
                <w:rFonts w:cs="Arial"/>
              </w:rPr>
            </w:pPr>
            <w:r w:rsidRPr="7DCEF4FC">
              <w:rPr>
                <w:rFonts w:cs="Arial"/>
              </w:rPr>
              <w:t xml:space="preserve">The </w:t>
            </w:r>
            <w:r w:rsidRPr="7DCEF4FC">
              <w:rPr>
                <w:rFonts w:cs="Arial"/>
                <w:i/>
                <w:iCs/>
              </w:rPr>
              <w:t>Statutory Bodies Financial Arrangements Act 1982</w:t>
            </w:r>
            <w:r w:rsidRPr="7DCEF4FC">
              <w:rPr>
                <w:rFonts w:cs="Arial"/>
              </w:rPr>
              <w:t xml:space="preserve"> provides for a tiered approach to local government investment rules.</w:t>
            </w:r>
          </w:p>
          <w:p w14:paraId="38804787" w14:textId="77777777" w:rsidR="00CA7F75" w:rsidRPr="008E2508" w:rsidRDefault="00CA7F75" w:rsidP="00CA7F75">
            <w:pPr>
              <w:pStyle w:val="ListParagraph"/>
              <w:spacing w:before="0" w:after="120" w:line="276" w:lineRule="auto"/>
              <w:ind w:left="0"/>
              <w:rPr>
                <w:rFonts w:cs="Arial"/>
              </w:rPr>
            </w:pPr>
          </w:p>
          <w:p w14:paraId="2C44C80E" w14:textId="77777777" w:rsidR="00CA7F75" w:rsidRPr="008E2508" w:rsidRDefault="7DCEF4FC" w:rsidP="7DCEF4FC">
            <w:pPr>
              <w:pStyle w:val="ListParagraph"/>
              <w:spacing w:before="0" w:after="120" w:line="276" w:lineRule="auto"/>
              <w:ind w:left="0"/>
              <w:rPr>
                <w:rFonts w:cs="Arial"/>
              </w:rPr>
            </w:pPr>
            <w:r w:rsidRPr="7DCEF4FC">
              <w:rPr>
                <w:rFonts w:cs="Arial"/>
              </w:rPr>
              <w:t xml:space="preserve">Local governments are assigned one of three bands based on size.  Most local governments are category one local governments with limited investment powers, six larger </w:t>
            </w:r>
            <w:r w:rsidRPr="7DCEF4FC">
              <w:rPr>
                <w:rFonts w:cs="Arial"/>
              </w:rPr>
              <w:lastRenderedPageBreak/>
              <w:t>regional councils are assigned category two, while the City of Brisbane is a category three.</w:t>
            </w:r>
          </w:p>
          <w:p w14:paraId="65BB9BE6" w14:textId="77777777" w:rsidR="00CA7F75" w:rsidRPr="008E2508" w:rsidRDefault="00CA7F75" w:rsidP="00CA7F75">
            <w:pPr>
              <w:pStyle w:val="ListParagraph"/>
              <w:spacing w:before="0" w:after="120" w:line="276" w:lineRule="auto"/>
              <w:ind w:left="0"/>
              <w:rPr>
                <w:rFonts w:cs="Arial"/>
              </w:rPr>
            </w:pPr>
          </w:p>
          <w:p w14:paraId="6958A616" w14:textId="77777777" w:rsidR="00CA7F75" w:rsidRPr="008E2508" w:rsidRDefault="7DCEF4FC" w:rsidP="7DCEF4FC">
            <w:pPr>
              <w:spacing w:before="0" w:after="120" w:line="276" w:lineRule="auto"/>
              <w:ind w:left="0"/>
              <w:rPr>
                <w:rFonts w:cs="Arial"/>
              </w:rPr>
            </w:pPr>
            <w:r w:rsidRPr="7DCEF4FC">
              <w:rPr>
                <w:rFonts w:cs="Arial"/>
              </w:rPr>
              <w:t>The types of investments permitted for each category of local government are specified in the Act and Regulations.</w:t>
            </w:r>
          </w:p>
        </w:tc>
      </w:tr>
      <w:tr w:rsidR="00CA7F75" w:rsidRPr="00FC154F" w14:paraId="2B58D527" w14:textId="77777777" w:rsidTr="7DCEF4FC">
        <w:trPr>
          <w:trHeight w:val="481"/>
        </w:trPr>
        <w:tc>
          <w:tcPr>
            <w:tcW w:w="2122" w:type="dxa"/>
          </w:tcPr>
          <w:p w14:paraId="5C177CDD" w14:textId="77777777" w:rsidR="00CA7F75" w:rsidRPr="008E2508" w:rsidRDefault="7DCEF4FC" w:rsidP="7DCEF4FC">
            <w:pPr>
              <w:spacing w:before="0" w:after="120" w:line="276" w:lineRule="auto"/>
              <w:rPr>
                <w:rFonts w:cs="Arial"/>
              </w:rPr>
            </w:pPr>
            <w:r w:rsidRPr="7DCEF4FC">
              <w:rPr>
                <w:rFonts w:cs="Arial"/>
              </w:rPr>
              <w:lastRenderedPageBreak/>
              <w:t>South Australia</w:t>
            </w:r>
          </w:p>
        </w:tc>
        <w:tc>
          <w:tcPr>
            <w:tcW w:w="7087" w:type="dxa"/>
          </w:tcPr>
          <w:p w14:paraId="0C1E14FD" w14:textId="77777777" w:rsidR="00CA7F75" w:rsidRPr="008E2508" w:rsidRDefault="7DCEF4FC" w:rsidP="7DCEF4FC">
            <w:pPr>
              <w:pStyle w:val="ListParagraph"/>
              <w:spacing w:before="0" w:after="120" w:line="276" w:lineRule="auto"/>
              <w:ind w:left="0"/>
              <w:rPr>
                <w:rFonts w:cs="Arial"/>
              </w:rPr>
            </w:pPr>
            <w:r w:rsidRPr="7DCEF4FC">
              <w:rPr>
                <w:rFonts w:cs="Arial"/>
              </w:rPr>
              <w:t xml:space="preserve">Local governments in South Australia operate with a principle-based regulatory approach to investments which affords them greater autonomy than other States.  </w:t>
            </w:r>
          </w:p>
          <w:p w14:paraId="7917D432" w14:textId="77777777" w:rsidR="00CA7F75" w:rsidRPr="008E2508" w:rsidRDefault="00CA7F75" w:rsidP="00CA7F75">
            <w:pPr>
              <w:pStyle w:val="ListParagraph"/>
              <w:spacing w:before="0" w:after="120" w:line="276" w:lineRule="auto"/>
              <w:ind w:left="0"/>
              <w:rPr>
                <w:rFonts w:cs="Arial"/>
              </w:rPr>
            </w:pPr>
          </w:p>
          <w:p w14:paraId="22347B66" w14:textId="77777777" w:rsidR="00CA7F75" w:rsidRPr="008E2508" w:rsidRDefault="7DCEF4FC" w:rsidP="7DCEF4FC">
            <w:pPr>
              <w:pStyle w:val="ListParagraph"/>
              <w:spacing w:before="0" w:after="120" w:line="276" w:lineRule="auto"/>
              <w:ind w:left="0"/>
              <w:rPr>
                <w:rFonts w:cs="Arial"/>
              </w:rPr>
            </w:pPr>
            <w:r w:rsidRPr="7DCEF4FC">
              <w:rPr>
                <w:rFonts w:cs="Arial"/>
              </w:rPr>
              <w:t>A local government may invest money under its control but must, “exercise the care, diligence and skill that prudent person of business would exercise in managing the affairs of other persons and avoid investments that are speculative or hazardous in nature.”</w:t>
            </w:r>
          </w:p>
          <w:p w14:paraId="526ECDFF" w14:textId="77777777" w:rsidR="00CA7F75" w:rsidRPr="008E2508" w:rsidRDefault="00CA7F75" w:rsidP="00CA7F75">
            <w:pPr>
              <w:pStyle w:val="ListParagraph"/>
              <w:spacing w:before="0" w:after="120" w:line="276" w:lineRule="auto"/>
              <w:ind w:left="0"/>
              <w:rPr>
                <w:rFonts w:cs="Arial"/>
              </w:rPr>
            </w:pPr>
          </w:p>
          <w:p w14:paraId="7FE19696" w14:textId="77777777" w:rsidR="00CA7F75" w:rsidRPr="008E2508" w:rsidRDefault="7DCEF4FC" w:rsidP="7DCEF4FC">
            <w:pPr>
              <w:pStyle w:val="ListParagraph"/>
              <w:spacing w:before="0" w:after="120" w:line="276" w:lineRule="auto"/>
              <w:ind w:left="0"/>
              <w:rPr>
                <w:rFonts w:cs="Arial"/>
              </w:rPr>
            </w:pPr>
            <w:r w:rsidRPr="7DCEF4FC">
              <w:rPr>
                <w:rFonts w:cs="Arial"/>
              </w:rPr>
              <w:t>The council must also have regard to the:</w:t>
            </w:r>
          </w:p>
          <w:p w14:paraId="0C5AE85D" w14:textId="0DABF8C6" w:rsidR="00CA7F75" w:rsidRPr="008E2508" w:rsidRDefault="7DCEF4FC" w:rsidP="7DCEF4FC">
            <w:pPr>
              <w:pStyle w:val="ListParagraph"/>
              <w:numPr>
                <w:ilvl w:val="0"/>
                <w:numId w:val="6"/>
              </w:numPr>
              <w:spacing w:before="0" w:after="120" w:line="276" w:lineRule="auto"/>
              <w:rPr>
                <w:rFonts w:cs="Arial"/>
              </w:rPr>
            </w:pPr>
            <w:r w:rsidRPr="7DCEF4FC">
              <w:rPr>
                <w:rFonts w:cs="Arial"/>
              </w:rPr>
              <w:t>Purposes of the investment;</w:t>
            </w:r>
          </w:p>
          <w:p w14:paraId="1690F29B" w14:textId="77B97135" w:rsidR="00CA7F75" w:rsidRPr="008E2508" w:rsidRDefault="7DCEF4FC" w:rsidP="7DCEF4FC">
            <w:pPr>
              <w:pStyle w:val="ListParagraph"/>
              <w:numPr>
                <w:ilvl w:val="0"/>
                <w:numId w:val="6"/>
              </w:numPr>
              <w:spacing w:before="0" w:after="120" w:line="276" w:lineRule="auto"/>
              <w:rPr>
                <w:rFonts w:cs="Arial"/>
              </w:rPr>
            </w:pPr>
            <w:r w:rsidRPr="7DCEF4FC">
              <w:rPr>
                <w:rFonts w:cs="Arial"/>
              </w:rPr>
              <w:t>Desirability of diversifying council investments;</w:t>
            </w:r>
          </w:p>
          <w:p w14:paraId="51B7EE56" w14:textId="061593EC" w:rsidR="00CA7F75" w:rsidRPr="008E2508" w:rsidRDefault="7DCEF4FC" w:rsidP="7DCEF4FC">
            <w:pPr>
              <w:pStyle w:val="ListParagraph"/>
              <w:numPr>
                <w:ilvl w:val="0"/>
                <w:numId w:val="6"/>
              </w:numPr>
              <w:spacing w:before="0" w:after="120" w:line="276" w:lineRule="auto"/>
              <w:rPr>
                <w:rFonts w:cs="Arial"/>
              </w:rPr>
            </w:pPr>
            <w:r w:rsidRPr="7DCEF4FC">
              <w:rPr>
                <w:rFonts w:cs="Arial"/>
              </w:rPr>
              <w:t>Nature of and risk associated with existing council investments;</w:t>
            </w:r>
          </w:p>
          <w:p w14:paraId="183F44C4" w14:textId="1744C119" w:rsidR="00CA7F75" w:rsidRPr="008E2508" w:rsidRDefault="7DCEF4FC" w:rsidP="7DCEF4FC">
            <w:pPr>
              <w:pStyle w:val="ListParagraph"/>
              <w:numPr>
                <w:ilvl w:val="0"/>
                <w:numId w:val="6"/>
              </w:numPr>
              <w:spacing w:before="0" w:after="120" w:line="276" w:lineRule="auto"/>
              <w:rPr>
                <w:rFonts w:cs="Arial"/>
              </w:rPr>
            </w:pPr>
            <w:r w:rsidRPr="7DCEF4FC">
              <w:rPr>
                <w:rFonts w:cs="Arial"/>
              </w:rPr>
              <w:t>Desirability of maintaining the real value of the capital and income of the investment;</w:t>
            </w:r>
          </w:p>
          <w:p w14:paraId="4E3DDFC8" w14:textId="30001CD6" w:rsidR="00CA7F75" w:rsidRPr="008E2508" w:rsidRDefault="7DCEF4FC" w:rsidP="7DCEF4FC">
            <w:pPr>
              <w:pStyle w:val="ListParagraph"/>
              <w:numPr>
                <w:ilvl w:val="0"/>
                <w:numId w:val="6"/>
              </w:numPr>
              <w:spacing w:before="0" w:after="120" w:line="276" w:lineRule="auto"/>
              <w:rPr>
                <w:rFonts w:cs="Arial"/>
              </w:rPr>
            </w:pPr>
            <w:r w:rsidRPr="7DCEF4FC">
              <w:rPr>
                <w:rFonts w:cs="Arial"/>
              </w:rPr>
              <w:t>Risk of capital or income loss or depreciation;</w:t>
            </w:r>
          </w:p>
          <w:p w14:paraId="36BEC78F" w14:textId="70C8FEC8" w:rsidR="00CA7F75" w:rsidRPr="008E2508" w:rsidRDefault="7DCEF4FC" w:rsidP="7DCEF4FC">
            <w:pPr>
              <w:pStyle w:val="ListParagraph"/>
              <w:numPr>
                <w:ilvl w:val="0"/>
                <w:numId w:val="6"/>
              </w:numPr>
              <w:spacing w:before="0" w:after="120" w:line="276" w:lineRule="auto"/>
              <w:rPr>
                <w:rFonts w:cs="Arial"/>
              </w:rPr>
            </w:pPr>
            <w:r w:rsidRPr="7DCEF4FC">
              <w:rPr>
                <w:rFonts w:cs="Arial"/>
              </w:rPr>
              <w:t>Potential for capital appreciation;</w:t>
            </w:r>
          </w:p>
          <w:p w14:paraId="4FFA92DD" w14:textId="722A166F" w:rsidR="00CA7F75" w:rsidRPr="008E2508" w:rsidRDefault="7DCEF4FC" w:rsidP="7DCEF4FC">
            <w:pPr>
              <w:pStyle w:val="ListParagraph"/>
              <w:numPr>
                <w:ilvl w:val="0"/>
                <w:numId w:val="6"/>
              </w:numPr>
              <w:spacing w:before="0" w:after="120" w:line="276" w:lineRule="auto"/>
              <w:rPr>
                <w:rFonts w:cs="Arial"/>
              </w:rPr>
            </w:pPr>
            <w:r w:rsidRPr="7DCEF4FC">
              <w:rPr>
                <w:rFonts w:cs="Arial"/>
              </w:rPr>
              <w:t>Likely income return and the timing of income return;</w:t>
            </w:r>
          </w:p>
          <w:p w14:paraId="5AE100ED" w14:textId="3F076612" w:rsidR="00CA7F75" w:rsidRPr="008E2508" w:rsidRDefault="7DCEF4FC" w:rsidP="7DCEF4FC">
            <w:pPr>
              <w:pStyle w:val="ListParagraph"/>
              <w:numPr>
                <w:ilvl w:val="0"/>
                <w:numId w:val="6"/>
              </w:numPr>
              <w:spacing w:before="0" w:after="120" w:line="276" w:lineRule="auto"/>
              <w:rPr>
                <w:rFonts w:cs="Arial"/>
              </w:rPr>
            </w:pPr>
            <w:r w:rsidRPr="7DCEF4FC">
              <w:rPr>
                <w:rFonts w:cs="Arial"/>
              </w:rPr>
              <w:t>Length of the term of a proposed investment;</w:t>
            </w:r>
          </w:p>
          <w:p w14:paraId="04ED595F" w14:textId="7DA9A373" w:rsidR="00CA7F75" w:rsidRPr="008E2508" w:rsidRDefault="7DCEF4FC" w:rsidP="7DCEF4FC">
            <w:pPr>
              <w:pStyle w:val="ListParagraph"/>
              <w:numPr>
                <w:ilvl w:val="0"/>
                <w:numId w:val="6"/>
              </w:numPr>
              <w:spacing w:before="0" w:after="120" w:line="276" w:lineRule="auto"/>
              <w:rPr>
                <w:rFonts w:cs="Arial"/>
              </w:rPr>
            </w:pPr>
            <w:r w:rsidRPr="7DCEF4FC">
              <w:rPr>
                <w:rFonts w:cs="Arial"/>
              </w:rPr>
              <w:t>The period for which the investment is likely to be required;</w:t>
            </w:r>
          </w:p>
          <w:p w14:paraId="208A39C0" w14:textId="11B4D08F" w:rsidR="00CA7F75" w:rsidRPr="008E2508" w:rsidRDefault="7DCEF4FC" w:rsidP="7DCEF4FC">
            <w:pPr>
              <w:pStyle w:val="ListParagraph"/>
              <w:numPr>
                <w:ilvl w:val="0"/>
                <w:numId w:val="6"/>
              </w:numPr>
              <w:spacing w:before="0" w:after="120" w:line="276" w:lineRule="auto"/>
              <w:rPr>
                <w:rFonts w:cs="Arial"/>
              </w:rPr>
            </w:pPr>
            <w:r w:rsidRPr="7DCEF4FC">
              <w:rPr>
                <w:rFonts w:cs="Arial"/>
              </w:rPr>
              <w:t>The liquidity and marketability of a proposed investment during, and on the determination of, the term of the investment;</w:t>
            </w:r>
          </w:p>
          <w:p w14:paraId="71D642FA" w14:textId="3983E28C" w:rsidR="00CA7F75" w:rsidRPr="008E2508" w:rsidRDefault="7DCEF4FC" w:rsidP="7DCEF4FC">
            <w:pPr>
              <w:pStyle w:val="ListParagraph"/>
              <w:numPr>
                <w:ilvl w:val="0"/>
                <w:numId w:val="6"/>
              </w:numPr>
              <w:spacing w:before="0" w:after="120" w:line="276" w:lineRule="auto"/>
              <w:rPr>
                <w:rFonts w:cs="Arial"/>
              </w:rPr>
            </w:pPr>
            <w:r w:rsidRPr="7DCEF4FC">
              <w:rPr>
                <w:rFonts w:cs="Arial"/>
              </w:rPr>
              <w:t>The aggregate value of the assets of the council;</w:t>
            </w:r>
          </w:p>
          <w:p w14:paraId="43D474EB" w14:textId="237D8EA9" w:rsidR="00CA7F75" w:rsidRPr="008E2508" w:rsidRDefault="7DCEF4FC" w:rsidP="7DCEF4FC">
            <w:pPr>
              <w:pStyle w:val="ListParagraph"/>
              <w:numPr>
                <w:ilvl w:val="0"/>
                <w:numId w:val="6"/>
              </w:numPr>
              <w:spacing w:before="0" w:after="120" w:line="276" w:lineRule="auto"/>
              <w:rPr>
                <w:rFonts w:cs="Arial"/>
              </w:rPr>
            </w:pPr>
            <w:r w:rsidRPr="7DCEF4FC">
              <w:rPr>
                <w:rFonts w:cs="Arial"/>
              </w:rPr>
              <w:t>The likelihood of inflation affecting the value of a proposed investment;</w:t>
            </w:r>
          </w:p>
          <w:p w14:paraId="48963E34" w14:textId="7B79D3AD" w:rsidR="00CA7F75" w:rsidRPr="008E2508" w:rsidRDefault="7DCEF4FC" w:rsidP="7DCEF4FC">
            <w:pPr>
              <w:pStyle w:val="ListParagraph"/>
              <w:numPr>
                <w:ilvl w:val="0"/>
                <w:numId w:val="6"/>
              </w:numPr>
              <w:spacing w:before="0" w:after="120" w:line="276" w:lineRule="auto"/>
              <w:rPr>
                <w:rFonts w:cs="Arial"/>
              </w:rPr>
            </w:pPr>
            <w:r w:rsidRPr="7DCEF4FC">
              <w:rPr>
                <w:rFonts w:cs="Arial"/>
              </w:rPr>
              <w:t>The costs of making a proposed investment; and</w:t>
            </w:r>
          </w:p>
          <w:p w14:paraId="46DD1AC5" w14:textId="1B6E849F" w:rsidR="00CA7F75" w:rsidRPr="008E2508" w:rsidRDefault="7DCEF4FC" w:rsidP="7DCEF4FC">
            <w:pPr>
              <w:pStyle w:val="ListParagraph"/>
              <w:numPr>
                <w:ilvl w:val="0"/>
                <w:numId w:val="6"/>
              </w:numPr>
              <w:spacing w:after="120" w:line="276" w:lineRule="auto"/>
              <w:rPr>
                <w:rFonts w:cs="Arial"/>
              </w:rPr>
            </w:pPr>
            <w:r w:rsidRPr="7DCEF4FC">
              <w:rPr>
                <w:rFonts w:cs="Arial"/>
              </w:rPr>
              <w:t>The results of any review of existing council investments.</w:t>
            </w:r>
          </w:p>
        </w:tc>
      </w:tr>
      <w:tr w:rsidR="00CA7F75" w:rsidRPr="00FC154F" w14:paraId="30223CC5" w14:textId="77777777" w:rsidTr="7DCEF4FC">
        <w:trPr>
          <w:trHeight w:val="481"/>
        </w:trPr>
        <w:tc>
          <w:tcPr>
            <w:tcW w:w="2122" w:type="dxa"/>
          </w:tcPr>
          <w:p w14:paraId="09F60DFE" w14:textId="77777777" w:rsidR="00CA7F75" w:rsidRPr="008E2508" w:rsidRDefault="7DCEF4FC" w:rsidP="7DCEF4FC">
            <w:pPr>
              <w:spacing w:before="0" w:after="120" w:line="276" w:lineRule="auto"/>
              <w:rPr>
                <w:rFonts w:cs="Arial"/>
              </w:rPr>
            </w:pPr>
            <w:r w:rsidRPr="7DCEF4FC">
              <w:rPr>
                <w:rFonts w:cs="Arial"/>
              </w:rPr>
              <w:t>Tasmania</w:t>
            </w:r>
          </w:p>
        </w:tc>
        <w:tc>
          <w:tcPr>
            <w:tcW w:w="7087" w:type="dxa"/>
          </w:tcPr>
          <w:p w14:paraId="3F836E10" w14:textId="77777777" w:rsidR="00CA7F75" w:rsidRPr="008E2508" w:rsidRDefault="7DCEF4FC" w:rsidP="7DCEF4FC">
            <w:pPr>
              <w:spacing w:before="0" w:after="120" w:line="276" w:lineRule="auto"/>
              <w:ind w:left="0"/>
              <w:rPr>
                <w:rFonts w:cs="Arial"/>
              </w:rPr>
            </w:pPr>
            <w:r w:rsidRPr="7DCEF4FC">
              <w:rPr>
                <w:rFonts w:cs="Arial"/>
              </w:rPr>
              <w:t>A council may invest in any investment approved by the Treasurer.</w:t>
            </w:r>
          </w:p>
        </w:tc>
      </w:tr>
    </w:tbl>
    <w:p w14:paraId="1907439C" w14:textId="77777777" w:rsidR="00CA7F75" w:rsidRPr="00940D18" w:rsidRDefault="7DCEF4FC" w:rsidP="7DCEF4FC">
      <w:pPr>
        <w:pStyle w:val="Heading2"/>
        <w:spacing w:before="0" w:after="120" w:line="276" w:lineRule="auto"/>
        <w:rPr>
          <w:rFonts w:ascii="Arial" w:hAnsi="Arial" w:cs="Arial"/>
          <w:color w:val="595959" w:themeColor="text1" w:themeTint="A6"/>
          <w:sz w:val="28"/>
          <w:szCs w:val="28"/>
        </w:rPr>
      </w:pPr>
      <w:bookmarkStart w:id="5" w:name="_Toc520440300"/>
      <w:bookmarkStart w:id="6" w:name="_GoBack"/>
      <w:bookmarkEnd w:id="6"/>
      <w:r w:rsidRPr="7DCEF4FC">
        <w:rPr>
          <w:rFonts w:ascii="Arial" w:hAnsi="Arial" w:cs="Arial"/>
          <w:color w:val="595959" w:themeColor="text1" w:themeTint="A6"/>
          <w:sz w:val="28"/>
          <w:szCs w:val="28"/>
        </w:rPr>
        <w:lastRenderedPageBreak/>
        <w:t>What are the opportunities for reform?</w:t>
      </w:r>
      <w:bookmarkEnd w:id="5"/>
    </w:p>
    <w:p w14:paraId="46B98320" w14:textId="331B1976" w:rsidR="00CA7F75" w:rsidRPr="00940D18" w:rsidRDefault="7DCEF4FC" w:rsidP="7DCEF4FC">
      <w:pPr>
        <w:spacing w:after="120" w:line="276" w:lineRule="auto"/>
        <w:jc w:val="both"/>
        <w:rPr>
          <w:rFonts w:ascii="Arial" w:hAnsi="Arial" w:cs="Arial"/>
          <w:sz w:val="24"/>
          <w:szCs w:val="24"/>
        </w:rPr>
      </w:pPr>
      <w:r w:rsidRPr="7DCEF4FC">
        <w:rPr>
          <w:rFonts w:ascii="Arial" w:hAnsi="Arial" w:cs="Arial"/>
          <w:sz w:val="24"/>
          <w:szCs w:val="24"/>
        </w:rPr>
        <w:t>The current approach to regulating investments has been criticised by the sector as overly restrictive. It was informed by incidents in 2007 when multi-</w:t>
      </w:r>
      <w:proofErr w:type="gramStart"/>
      <w:r w:rsidRPr="7DCEF4FC">
        <w:rPr>
          <w:rFonts w:ascii="Arial" w:hAnsi="Arial" w:cs="Arial"/>
          <w:sz w:val="24"/>
          <w:szCs w:val="24"/>
        </w:rPr>
        <w:t>million dollar</w:t>
      </w:r>
      <w:proofErr w:type="gramEnd"/>
      <w:r w:rsidRPr="7DCEF4FC">
        <w:rPr>
          <w:rFonts w:ascii="Arial" w:hAnsi="Arial" w:cs="Arial"/>
          <w:sz w:val="24"/>
          <w:szCs w:val="24"/>
        </w:rPr>
        <w:t xml:space="preserve"> losses were suffered by a number of Western Australian local governments who had invested in Collateralised Debt Obligations (CDOs) with Lehman Brothers.</w:t>
      </w:r>
    </w:p>
    <w:p w14:paraId="55E83917" w14:textId="2A9528F3" w:rsidR="00CA7F75" w:rsidRPr="00940D18" w:rsidRDefault="7DCEF4FC" w:rsidP="7DCEF4FC">
      <w:pPr>
        <w:spacing w:after="120" w:line="276" w:lineRule="auto"/>
        <w:jc w:val="both"/>
        <w:rPr>
          <w:rFonts w:ascii="Arial" w:hAnsi="Arial" w:cs="Arial"/>
          <w:sz w:val="24"/>
          <w:szCs w:val="24"/>
        </w:rPr>
      </w:pPr>
      <w:r w:rsidRPr="7DCEF4FC">
        <w:rPr>
          <w:rFonts w:ascii="Arial" w:hAnsi="Arial" w:cs="Arial"/>
          <w:sz w:val="24"/>
          <w:szCs w:val="24"/>
        </w:rPr>
        <w:t xml:space="preserve">In 2016, the Department considered a new approach to regulate investments. The review noted that the types of investments prohibited by the Regulations did not necessarily correlate to risk. For example, while local governments are not permitted to invest in long term deposits for a period greater than 12 months (which is considered on balance a low-risk investment) there was nothing in the regulations preventing local governments from investing in shares or investments like the CDOs that were in part responsible for the Global Financial Crisis.  </w:t>
      </w:r>
    </w:p>
    <w:p w14:paraId="48E318B9" w14:textId="77777777" w:rsidR="00CA7F75" w:rsidRPr="00940D18" w:rsidRDefault="7DCEF4FC" w:rsidP="7DCEF4FC">
      <w:pPr>
        <w:spacing w:after="120" w:line="276" w:lineRule="auto"/>
        <w:jc w:val="both"/>
        <w:rPr>
          <w:rFonts w:ascii="Arial" w:hAnsi="Arial" w:cs="Arial"/>
          <w:sz w:val="24"/>
          <w:szCs w:val="24"/>
        </w:rPr>
      </w:pPr>
      <w:r w:rsidRPr="7DCEF4FC">
        <w:rPr>
          <w:rFonts w:ascii="Arial" w:hAnsi="Arial" w:cs="Arial"/>
          <w:sz w:val="24"/>
          <w:szCs w:val="24"/>
        </w:rPr>
        <w:t>One approach to resolve this situation involved the introduction of a mandatory requirement for local governments to have an investment policy which would be endorsed by council and regularly reviewed.</w:t>
      </w:r>
    </w:p>
    <w:tbl>
      <w:tblPr>
        <w:tblStyle w:val="TableGrid"/>
        <w:tblW w:w="0" w:type="auto"/>
        <w:shd w:val="clear" w:color="auto" w:fill="C0311A"/>
        <w:tblLook w:val="04A0" w:firstRow="1" w:lastRow="0" w:firstColumn="1" w:lastColumn="0" w:noHBand="0" w:noVBand="1"/>
      </w:tblPr>
      <w:tblGrid>
        <w:gridCol w:w="9016"/>
      </w:tblGrid>
      <w:tr w:rsidR="00C900CA" w:rsidRPr="00C900CA" w14:paraId="31776723" w14:textId="77777777" w:rsidTr="7DCEF4FC">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C0311A"/>
          </w:tcPr>
          <w:p w14:paraId="4B38443A" w14:textId="77777777" w:rsidR="00CA7F75" w:rsidRPr="008E2508" w:rsidRDefault="7DCEF4FC" w:rsidP="7DCEF4FC">
            <w:pPr>
              <w:spacing w:before="0" w:after="120" w:line="276" w:lineRule="auto"/>
              <w:jc w:val="both"/>
              <w:rPr>
                <w:rFonts w:cs="Arial"/>
                <w:color w:val="FFFFFF" w:themeColor="background1"/>
              </w:rPr>
            </w:pPr>
            <w:r w:rsidRPr="7DCEF4FC">
              <w:rPr>
                <w:rFonts w:cs="Arial"/>
                <w:color w:val="FFFFFF" w:themeColor="background1"/>
              </w:rPr>
              <w:t>Proposal - Investment policy</w:t>
            </w:r>
          </w:p>
          <w:p w14:paraId="489E48CD" w14:textId="77777777" w:rsidR="00CA7F75" w:rsidRPr="008E2508" w:rsidRDefault="7DCEF4FC" w:rsidP="7DCEF4FC">
            <w:pPr>
              <w:spacing w:before="0" w:after="120" w:line="276" w:lineRule="auto"/>
              <w:jc w:val="both"/>
              <w:rPr>
                <w:rFonts w:cs="Arial"/>
                <w:b w:val="0"/>
                <w:color w:val="FFFFFF" w:themeColor="background1"/>
              </w:rPr>
            </w:pPr>
            <w:r w:rsidRPr="7DCEF4FC">
              <w:rPr>
                <w:rFonts w:cs="Arial"/>
                <w:b w:val="0"/>
                <w:color w:val="FFFFFF" w:themeColor="background1"/>
              </w:rPr>
              <w:t xml:space="preserve">A council endorsed policy, reviewed annually that describes: </w:t>
            </w:r>
          </w:p>
          <w:p w14:paraId="7B5BB13E" w14:textId="77777777" w:rsidR="00CA7F75" w:rsidRPr="008E2508" w:rsidRDefault="7DCEF4FC" w:rsidP="7DCEF4FC">
            <w:pPr>
              <w:pStyle w:val="ListParagraph"/>
              <w:numPr>
                <w:ilvl w:val="0"/>
                <w:numId w:val="16"/>
              </w:numPr>
              <w:spacing w:before="0" w:after="120" w:line="276" w:lineRule="auto"/>
              <w:jc w:val="both"/>
              <w:rPr>
                <w:rFonts w:cs="Arial"/>
                <w:b w:val="0"/>
                <w:color w:val="FFFFFF" w:themeColor="background1"/>
              </w:rPr>
            </w:pPr>
            <w:r w:rsidRPr="7DCEF4FC">
              <w:rPr>
                <w:rFonts w:cs="Arial"/>
                <w:b w:val="0"/>
                <w:color w:val="FFFFFF" w:themeColor="background1"/>
              </w:rPr>
              <w:t>restrictions on allowable instruments;</w:t>
            </w:r>
          </w:p>
          <w:p w14:paraId="07AB9063" w14:textId="77777777" w:rsidR="00CA7F75" w:rsidRPr="008E2508" w:rsidRDefault="7DCEF4FC" w:rsidP="7DCEF4FC">
            <w:pPr>
              <w:pStyle w:val="ListParagraph"/>
              <w:numPr>
                <w:ilvl w:val="0"/>
                <w:numId w:val="16"/>
              </w:numPr>
              <w:spacing w:before="0" w:after="120" w:line="276" w:lineRule="auto"/>
              <w:jc w:val="both"/>
              <w:rPr>
                <w:rFonts w:cs="Arial"/>
                <w:b w:val="0"/>
                <w:color w:val="FFFFFF" w:themeColor="background1"/>
              </w:rPr>
            </w:pPr>
            <w:r w:rsidRPr="7DCEF4FC">
              <w:rPr>
                <w:rFonts w:cs="Arial"/>
                <w:b w:val="0"/>
                <w:color w:val="FFFFFF" w:themeColor="background1"/>
              </w:rPr>
              <w:t>provisions for portfolio diversification;</w:t>
            </w:r>
          </w:p>
          <w:p w14:paraId="5BCED8FD" w14:textId="77777777" w:rsidR="00CA7F75" w:rsidRPr="008E2508" w:rsidRDefault="7DCEF4FC" w:rsidP="7DCEF4FC">
            <w:pPr>
              <w:pStyle w:val="ListParagraph"/>
              <w:numPr>
                <w:ilvl w:val="0"/>
                <w:numId w:val="16"/>
              </w:numPr>
              <w:spacing w:before="0" w:after="120" w:line="276" w:lineRule="auto"/>
              <w:jc w:val="both"/>
              <w:rPr>
                <w:rFonts w:cs="Arial"/>
                <w:b w:val="0"/>
                <w:color w:val="FFFFFF" w:themeColor="background1"/>
              </w:rPr>
            </w:pPr>
            <w:r w:rsidRPr="7DCEF4FC">
              <w:rPr>
                <w:rFonts w:cs="Arial"/>
                <w:b w:val="0"/>
                <w:color w:val="FFFFFF" w:themeColor="background1"/>
              </w:rPr>
              <w:t>suitable benchmarks for measuring performance;</w:t>
            </w:r>
          </w:p>
          <w:p w14:paraId="29675680" w14:textId="77777777" w:rsidR="00CA7F75" w:rsidRPr="008E2508" w:rsidRDefault="7DCEF4FC" w:rsidP="7DCEF4FC">
            <w:pPr>
              <w:pStyle w:val="ListParagraph"/>
              <w:numPr>
                <w:ilvl w:val="0"/>
                <w:numId w:val="16"/>
              </w:numPr>
              <w:spacing w:before="0" w:after="120" w:line="276" w:lineRule="auto"/>
              <w:jc w:val="both"/>
              <w:rPr>
                <w:rFonts w:cs="Arial"/>
                <w:b w:val="0"/>
                <w:color w:val="FFFFFF" w:themeColor="background1"/>
              </w:rPr>
            </w:pPr>
            <w:r w:rsidRPr="7DCEF4FC">
              <w:rPr>
                <w:rFonts w:cs="Arial"/>
                <w:b w:val="0"/>
                <w:color w:val="FFFFFF" w:themeColor="background1"/>
              </w:rPr>
              <w:t>allowance for both financial and social investments;</w:t>
            </w:r>
          </w:p>
          <w:p w14:paraId="7C6E3840" w14:textId="77777777" w:rsidR="00CA7F75" w:rsidRPr="008E2508" w:rsidRDefault="7DCEF4FC" w:rsidP="7DCEF4FC">
            <w:pPr>
              <w:pStyle w:val="ListParagraph"/>
              <w:numPr>
                <w:ilvl w:val="0"/>
                <w:numId w:val="16"/>
              </w:numPr>
              <w:spacing w:before="0" w:after="120" w:line="276" w:lineRule="auto"/>
              <w:jc w:val="both"/>
              <w:rPr>
                <w:rFonts w:cs="Arial"/>
                <w:b w:val="0"/>
                <w:color w:val="FFFFFF" w:themeColor="background1"/>
              </w:rPr>
            </w:pPr>
            <w:r w:rsidRPr="7DCEF4FC">
              <w:rPr>
                <w:rFonts w:cs="Arial"/>
                <w:b w:val="0"/>
                <w:color w:val="FFFFFF" w:themeColor="background1"/>
              </w:rPr>
              <w:t>valuations for reporting purposes to be on a market-to-market basis, with real property being valued every three years at a minimum, and ideally on an annual basis;</w:t>
            </w:r>
          </w:p>
          <w:p w14:paraId="2B70E198" w14:textId="77777777" w:rsidR="00CA7F75" w:rsidRPr="008E2508" w:rsidRDefault="7DCEF4FC" w:rsidP="7DCEF4FC">
            <w:pPr>
              <w:pStyle w:val="ListParagraph"/>
              <w:numPr>
                <w:ilvl w:val="0"/>
                <w:numId w:val="16"/>
              </w:numPr>
              <w:spacing w:before="0" w:after="120" w:line="276" w:lineRule="auto"/>
              <w:jc w:val="both"/>
              <w:rPr>
                <w:rFonts w:cs="Arial"/>
                <w:b w:val="0"/>
                <w:color w:val="FFFFFF" w:themeColor="background1"/>
              </w:rPr>
            </w:pPr>
            <w:r w:rsidRPr="7DCEF4FC">
              <w:rPr>
                <w:rFonts w:cs="Arial"/>
                <w:b w:val="0"/>
                <w:color w:val="FFFFFF" w:themeColor="background1"/>
              </w:rPr>
              <w:t>provisions for minimum reporting requirements; and</w:t>
            </w:r>
          </w:p>
          <w:p w14:paraId="0CF86CED" w14:textId="7F2B246F" w:rsidR="00CA7F75" w:rsidRPr="008E2508" w:rsidRDefault="7DCEF4FC" w:rsidP="7DCEF4FC">
            <w:pPr>
              <w:pStyle w:val="ListParagraph"/>
              <w:numPr>
                <w:ilvl w:val="0"/>
                <w:numId w:val="16"/>
              </w:numPr>
              <w:spacing w:before="0" w:after="120" w:line="276" w:lineRule="auto"/>
              <w:jc w:val="both"/>
              <w:rPr>
                <w:rFonts w:cs="Arial"/>
                <w:b w:val="0"/>
                <w:color w:val="FFFFFF" w:themeColor="background1"/>
              </w:rPr>
            </w:pPr>
            <w:r w:rsidRPr="7DCEF4FC">
              <w:rPr>
                <w:rFonts w:cs="Arial"/>
                <w:b w:val="0"/>
                <w:color w:val="FFFFFF" w:themeColor="background1"/>
              </w:rPr>
              <w:t>processes for the selection and review of investment advisors.</w:t>
            </w:r>
          </w:p>
        </w:tc>
      </w:tr>
    </w:tbl>
    <w:p w14:paraId="4CBC758B" w14:textId="77777777" w:rsidR="00CA7F75" w:rsidRPr="00FC154F" w:rsidRDefault="00CA7F75" w:rsidP="00CA7F75">
      <w:pPr>
        <w:spacing w:after="120" w:line="276" w:lineRule="auto"/>
        <w:rPr>
          <w:rFonts w:ascii="Arial" w:hAnsi="Arial" w:cs="Arial"/>
        </w:rPr>
      </w:pPr>
    </w:p>
    <w:p w14:paraId="74F62870" w14:textId="7BB868C6" w:rsidR="00CA7F75" w:rsidRDefault="7DCEF4FC" w:rsidP="7DCEF4FC">
      <w:pPr>
        <w:keepLines/>
        <w:spacing w:after="120" w:line="276" w:lineRule="auto"/>
        <w:jc w:val="both"/>
        <w:rPr>
          <w:rFonts w:ascii="Arial" w:hAnsi="Arial" w:cs="Arial"/>
          <w:sz w:val="24"/>
          <w:szCs w:val="24"/>
        </w:rPr>
      </w:pPr>
      <w:r w:rsidRPr="7DCEF4FC">
        <w:rPr>
          <w:rFonts w:ascii="Arial" w:hAnsi="Arial" w:cs="Arial"/>
          <w:sz w:val="24"/>
          <w:szCs w:val="24"/>
        </w:rPr>
        <w:t xml:space="preserve">Further, local government investments would be defined as either Tier One or Tier Two. Tier One investments would incorporate low risk investments that local governments would be able to use with minimal regulatory oversight. Tier Two investments would require additional due diligence such as the development and approval of investment plans by the Department or another regulator.  </w:t>
      </w:r>
    </w:p>
    <w:tbl>
      <w:tblPr>
        <w:tblStyle w:val="TableGrid"/>
        <w:tblW w:w="0" w:type="auto"/>
        <w:shd w:val="clear" w:color="auto" w:fill="C0311A"/>
        <w:tblLook w:val="04A0" w:firstRow="1" w:lastRow="0" w:firstColumn="1" w:lastColumn="0" w:noHBand="0" w:noVBand="1"/>
      </w:tblPr>
      <w:tblGrid>
        <w:gridCol w:w="9016"/>
      </w:tblGrid>
      <w:tr w:rsidR="00C900CA" w:rsidRPr="00C900CA" w14:paraId="43C9E900" w14:textId="77777777" w:rsidTr="7DCEF4FC">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C0311A"/>
          </w:tcPr>
          <w:p w14:paraId="227A53D0" w14:textId="77777777" w:rsidR="00CA7F75" w:rsidRPr="008E2508" w:rsidRDefault="7DCEF4FC" w:rsidP="7DCEF4FC">
            <w:pPr>
              <w:pStyle w:val="Heading1"/>
              <w:keepNext w:val="0"/>
              <w:spacing w:before="0" w:after="120" w:line="276" w:lineRule="auto"/>
              <w:ind w:left="0"/>
              <w:jc w:val="both"/>
              <w:outlineLvl w:val="0"/>
              <w:rPr>
                <w:rFonts w:ascii="Arial" w:hAnsi="Arial" w:cs="Arial"/>
                <w:color w:val="FFFFFF" w:themeColor="background1"/>
                <w:sz w:val="24"/>
                <w:szCs w:val="24"/>
              </w:rPr>
            </w:pPr>
            <w:bookmarkStart w:id="7" w:name="_Toc520440302"/>
            <w:bookmarkEnd w:id="4"/>
            <w:r w:rsidRPr="7DCEF4FC">
              <w:rPr>
                <w:rFonts w:ascii="Arial" w:hAnsi="Arial" w:cs="Arial"/>
                <w:color w:val="FFFFFF" w:themeColor="background1"/>
                <w:sz w:val="24"/>
                <w:szCs w:val="24"/>
              </w:rPr>
              <w:lastRenderedPageBreak/>
              <w:t>Development contributions</w:t>
            </w:r>
            <w:bookmarkEnd w:id="7"/>
          </w:p>
          <w:p w14:paraId="49EE279B" w14:textId="77777777" w:rsidR="00CA7F75" w:rsidRPr="008E2508" w:rsidRDefault="7DCEF4FC" w:rsidP="7DCEF4FC">
            <w:pPr>
              <w:keepLines/>
              <w:spacing w:before="0" w:after="120" w:line="276" w:lineRule="auto"/>
              <w:jc w:val="both"/>
              <w:rPr>
                <w:rFonts w:cs="Arial"/>
                <w:b w:val="0"/>
                <w:color w:val="FFFFFF" w:themeColor="background1"/>
              </w:rPr>
            </w:pPr>
            <w:r w:rsidRPr="7DCEF4FC">
              <w:rPr>
                <w:rFonts w:cs="Arial"/>
                <w:b w:val="0"/>
                <w:color w:val="FFFFFF" w:themeColor="background1"/>
              </w:rPr>
              <w:t>Development contributions are an important tool for local governments to fund infrastructure in growing communities.</w:t>
            </w:r>
          </w:p>
          <w:p w14:paraId="5072455E" w14:textId="3EA32F1D" w:rsidR="00CA7F75" w:rsidRPr="008E2508" w:rsidRDefault="7DCEF4FC" w:rsidP="7DCEF4FC">
            <w:pPr>
              <w:keepLines/>
              <w:spacing w:before="0" w:after="120" w:line="276" w:lineRule="auto"/>
              <w:jc w:val="both"/>
              <w:rPr>
                <w:rFonts w:cs="Arial"/>
                <w:b w:val="0"/>
                <w:color w:val="FFFFFF" w:themeColor="background1"/>
              </w:rPr>
            </w:pPr>
            <w:r w:rsidRPr="7DCEF4FC">
              <w:rPr>
                <w:rFonts w:cs="Arial"/>
                <w:b w:val="0"/>
                <w:color w:val="FFFFFF" w:themeColor="background1"/>
              </w:rPr>
              <w:t xml:space="preserve">State Planning Policy 3.6 prepared under the </w:t>
            </w:r>
            <w:r w:rsidRPr="7DCEF4FC">
              <w:rPr>
                <w:rFonts w:cs="Arial"/>
                <w:b w:val="0"/>
                <w:i/>
                <w:iCs/>
                <w:color w:val="FFFFFF" w:themeColor="background1"/>
              </w:rPr>
              <w:t>Planning and Development Act 2005</w:t>
            </w:r>
            <w:r w:rsidRPr="7DCEF4FC">
              <w:rPr>
                <w:rFonts w:cs="Arial"/>
                <w:b w:val="0"/>
                <w:color w:val="FFFFFF" w:themeColor="background1"/>
              </w:rPr>
              <w:t xml:space="preserve"> describes the principles and considerations of development for infrastructure in urban areas. Under the policy, local governments may set out a system of charging development contributions through their planning scheme.</w:t>
            </w:r>
          </w:p>
          <w:p w14:paraId="4ADBFBBE" w14:textId="77777777" w:rsidR="00CA7F75" w:rsidRPr="008E2508" w:rsidRDefault="7DCEF4FC" w:rsidP="7DCEF4FC">
            <w:pPr>
              <w:keepLines/>
              <w:spacing w:before="0" w:after="120" w:line="276" w:lineRule="auto"/>
              <w:jc w:val="both"/>
              <w:rPr>
                <w:rFonts w:cs="Arial"/>
                <w:b w:val="0"/>
                <w:color w:val="FFFFFF" w:themeColor="background1"/>
              </w:rPr>
            </w:pPr>
            <w:r w:rsidRPr="7DCEF4FC">
              <w:rPr>
                <w:rFonts w:cs="Arial"/>
                <w:b w:val="0"/>
                <w:color w:val="FFFFFF" w:themeColor="background1"/>
              </w:rPr>
              <w:t>Development contributions can be sought for infrastructure required to support the development of an area.  Local governments may seek:</w:t>
            </w:r>
          </w:p>
          <w:p w14:paraId="745584A2" w14:textId="77777777" w:rsidR="00CA7F75" w:rsidRPr="008E2508" w:rsidRDefault="7DCEF4FC" w:rsidP="7DCEF4FC">
            <w:pPr>
              <w:pStyle w:val="ListParagraph"/>
              <w:keepLines/>
              <w:numPr>
                <w:ilvl w:val="0"/>
                <w:numId w:val="2"/>
              </w:numPr>
              <w:spacing w:before="0" w:after="120" w:line="276" w:lineRule="auto"/>
              <w:contextualSpacing w:val="0"/>
              <w:jc w:val="both"/>
              <w:rPr>
                <w:rFonts w:cs="Arial"/>
                <w:b w:val="0"/>
                <w:color w:val="FFFFFF" w:themeColor="background1"/>
              </w:rPr>
            </w:pPr>
            <w:r w:rsidRPr="7DCEF4FC">
              <w:rPr>
                <w:rFonts w:cs="Arial"/>
                <w:b w:val="0"/>
                <w:color w:val="FFFFFF" w:themeColor="background1"/>
              </w:rPr>
              <w:t>land contributions (for example, land for widening roads, public space, or primary schools);</w:t>
            </w:r>
          </w:p>
          <w:p w14:paraId="0FCE282D" w14:textId="77777777" w:rsidR="00CA7F75" w:rsidRPr="008E2508" w:rsidRDefault="7DCEF4FC" w:rsidP="7DCEF4FC">
            <w:pPr>
              <w:pStyle w:val="ListParagraph"/>
              <w:keepLines/>
              <w:numPr>
                <w:ilvl w:val="0"/>
                <w:numId w:val="2"/>
              </w:numPr>
              <w:spacing w:before="0" w:after="120" w:line="276" w:lineRule="auto"/>
              <w:contextualSpacing w:val="0"/>
              <w:jc w:val="both"/>
              <w:rPr>
                <w:rFonts w:cs="Arial"/>
                <w:b w:val="0"/>
                <w:color w:val="FFFFFF" w:themeColor="background1"/>
              </w:rPr>
            </w:pPr>
            <w:r w:rsidRPr="7DCEF4FC">
              <w:rPr>
                <w:rFonts w:cs="Arial"/>
                <w:b w:val="0"/>
                <w:color w:val="FFFFFF" w:themeColor="background1"/>
              </w:rPr>
              <w:t>infrastructure works for public utilities and roads;</w:t>
            </w:r>
          </w:p>
          <w:p w14:paraId="72E7FA6C" w14:textId="77777777" w:rsidR="00CA7F75" w:rsidRPr="008E2508" w:rsidRDefault="7DCEF4FC" w:rsidP="7DCEF4FC">
            <w:pPr>
              <w:pStyle w:val="ListParagraph"/>
              <w:keepLines/>
              <w:numPr>
                <w:ilvl w:val="0"/>
                <w:numId w:val="2"/>
              </w:numPr>
              <w:spacing w:before="0" w:after="120" w:line="276" w:lineRule="auto"/>
              <w:contextualSpacing w:val="0"/>
              <w:jc w:val="both"/>
              <w:rPr>
                <w:rFonts w:cs="Arial"/>
                <w:b w:val="0"/>
                <w:color w:val="FFFFFF" w:themeColor="background1"/>
              </w:rPr>
            </w:pPr>
            <w:r w:rsidRPr="7DCEF4FC">
              <w:rPr>
                <w:rFonts w:cs="Arial"/>
                <w:b w:val="0"/>
                <w:color w:val="FFFFFF" w:themeColor="background1"/>
              </w:rPr>
              <w:t>monetary contributions for water and sewerage; and</w:t>
            </w:r>
          </w:p>
          <w:p w14:paraId="487EE44A" w14:textId="77777777" w:rsidR="00CA7F75" w:rsidRPr="008E2508" w:rsidRDefault="7DCEF4FC" w:rsidP="7DCEF4FC">
            <w:pPr>
              <w:pStyle w:val="ListParagraph"/>
              <w:keepLines/>
              <w:numPr>
                <w:ilvl w:val="0"/>
                <w:numId w:val="2"/>
              </w:numPr>
              <w:spacing w:before="0" w:after="120" w:line="276" w:lineRule="auto"/>
              <w:contextualSpacing w:val="0"/>
              <w:jc w:val="both"/>
              <w:rPr>
                <w:rFonts w:cs="Arial"/>
                <w:b w:val="0"/>
                <w:color w:val="FFFFFF" w:themeColor="background1"/>
              </w:rPr>
            </w:pPr>
            <w:r w:rsidRPr="7DCEF4FC">
              <w:rPr>
                <w:rFonts w:cs="Arial"/>
                <w:b w:val="0"/>
                <w:color w:val="FFFFFF" w:themeColor="background1"/>
              </w:rPr>
              <w:t>community infrastructure.</w:t>
            </w:r>
          </w:p>
          <w:p w14:paraId="4708C9D1" w14:textId="77777777" w:rsidR="00CA7F75" w:rsidRPr="008E2508" w:rsidRDefault="7DCEF4FC" w:rsidP="7DCEF4FC">
            <w:pPr>
              <w:keepLines/>
              <w:spacing w:before="0" w:after="120" w:line="276" w:lineRule="auto"/>
              <w:jc w:val="both"/>
              <w:rPr>
                <w:rFonts w:cs="Arial"/>
                <w:b w:val="0"/>
                <w:color w:val="FFFFFF" w:themeColor="background1"/>
              </w:rPr>
            </w:pPr>
            <w:r w:rsidRPr="7DCEF4FC">
              <w:rPr>
                <w:rFonts w:cs="Arial"/>
                <w:b w:val="0"/>
                <w:color w:val="FFFFFF" w:themeColor="background1"/>
              </w:rPr>
              <w:t>Contributions are for the initial capital requirements only and not for ongoing maintenance or the operating costs.</w:t>
            </w:r>
          </w:p>
          <w:p w14:paraId="37333616" w14:textId="77777777" w:rsidR="00CA7F75" w:rsidRPr="008E2508" w:rsidRDefault="7DCEF4FC" w:rsidP="7DCEF4FC">
            <w:pPr>
              <w:keepLines/>
              <w:spacing w:before="0" w:after="120" w:line="276" w:lineRule="auto"/>
              <w:jc w:val="both"/>
              <w:rPr>
                <w:rFonts w:cs="Arial"/>
                <w:b w:val="0"/>
                <w:color w:val="FFFFFF" w:themeColor="background1"/>
              </w:rPr>
            </w:pPr>
            <w:r w:rsidRPr="7DCEF4FC">
              <w:rPr>
                <w:rFonts w:cs="Arial"/>
                <w:b w:val="0"/>
                <w:color w:val="FFFFFF" w:themeColor="background1"/>
              </w:rPr>
              <w:t>Local governments seeking contributions for community infrastructure must be supported by a community infrastructure plan, capital expenditure plan, growth forecasts and a method to determine proportional costs between new and existing areas.</w:t>
            </w:r>
          </w:p>
          <w:p w14:paraId="42AEB7B1" w14:textId="77777777" w:rsidR="00CA7F75" w:rsidRPr="00C900CA" w:rsidRDefault="7DCEF4FC" w:rsidP="7DCEF4FC">
            <w:pPr>
              <w:keepLines/>
              <w:spacing w:before="0" w:after="120" w:line="276" w:lineRule="auto"/>
              <w:jc w:val="both"/>
              <w:rPr>
                <w:rFonts w:cs="Arial"/>
                <w:color w:val="FFFFFF" w:themeColor="background1"/>
              </w:rPr>
            </w:pPr>
            <w:r w:rsidRPr="7DCEF4FC">
              <w:rPr>
                <w:rFonts w:cs="Arial"/>
                <w:b w:val="0"/>
                <w:color w:val="FFFFFF" w:themeColor="background1"/>
              </w:rPr>
              <w:t>The role of development contributions is being considered as part of the Department of Planning’s review of the State Planning Policy.</w:t>
            </w:r>
          </w:p>
        </w:tc>
      </w:tr>
    </w:tbl>
    <w:p w14:paraId="33FC8DD3" w14:textId="77777777" w:rsidR="00CA7F75" w:rsidRPr="00FC154F" w:rsidRDefault="00CA7F75" w:rsidP="00CA7F75">
      <w:pPr>
        <w:spacing w:after="120" w:line="276" w:lineRule="auto"/>
        <w:rPr>
          <w:rFonts w:ascii="Arial" w:hAnsi="Arial" w:cs="Arial"/>
        </w:rPr>
      </w:pPr>
    </w:p>
    <w:p w14:paraId="7AD9B5E9" w14:textId="77777777" w:rsidR="00CA7F75" w:rsidRPr="00C900CA" w:rsidRDefault="7DCEF4FC" w:rsidP="7DCEF4FC">
      <w:pPr>
        <w:pStyle w:val="Heading1"/>
        <w:spacing w:before="0" w:after="120" w:line="276" w:lineRule="auto"/>
        <w:rPr>
          <w:rFonts w:ascii="Arial" w:hAnsi="Arial" w:cs="Arial"/>
          <w:color w:val="C0311A"/>
        </w:rPr>
      </w:pPr>
      <w:bookmarkStart w:id="8" w:name="_Toc520440303"/>
      <w:r w:rsidRPr="7DCEF4FC">
        <w:rPr>
          <w:rFonts w:ascii="Arial" w:hAnsi="Arial" w:cs="Arial"/>
          <w:color w:val="C0311A"/>
        </w:rPr>
        <w:t>Debt</w:t>
      </w:r>
      <w:bookmarkEnd w:id="8"/>
    </w:p>
    <w:p w14:paraId="0D2498D2" w14:textId="77777777" w:rsidR="00CA7F75" w:rsidRPr="00940D18" w:rsidRDefault="7DCEF4FC" w:rsidP="7DCEF4FC">
      <w:pPr>
        <w:keepNext/>
        <w:keepLines/>
        <w:spacing w:after="120" w:line="276" w:lineRule="auto"/>
        <w:jc w:val="both"/>
        <w:rPr>
          <w:rFonts w:ascii="Arial" w:hAnsi="Arial" w:cs="Arial"/>
          <w:sz w:val="24"/>
          <w:szCs w:val="24"/>
        </w:rPr>
      </w:pPr>
      <w:r w:rsidRPr="7DCEF4FC">
        <w:rPr>
          <w:rFonts w:ascii="Arial" w:hAnsi="Arial" w:cs="Arial"/>
          <w:sz w:val="24"/>
          <w:szCs w:val="24"/>
        </w:rPr>
        <w:t>Section 6.20 of the Act provides local governments with the power to borrow money or obtain credit.</w:t>
      </w:r>
    </w:p>
    <w:p w14:paraId="5007566D" w14:textId="07B39A6E" w:rsidR="00CA7F75" w:rsidRPr="00940D18" w:rsidRDefault="7DCEF4FC" w:rsidP="7DCEF4FC">
      <w:pPr>
        <w:keepNext/>
        <w:keepLines/>
        <w:spacing w:after="120" w:line="276" w:lineRule="auto"/>
        <w:jc w:val="both"/>
        <w:rPr>
          <w:rFonts w:ascii="Arial" w:hAnsi="Arial" w:cs="Arial"/>
          <w:sz w:val="24"/>
          <w:szCs w:val="24"/>
        </w:rPr>
      </w:pPr>
      <w:r w:rsidRPr="7DCEF4FC">
        <w:rPr>
          <w:rFonts w:ascii="Arial" w:hAnsi="Arial" w:cs="Arial"/>
          <w:sz w:val="24"/>
          <w:szCs w:val="24"/>
        </w:rPr>
        <w:t>Local governments in Western Australia do not need to seek external approval to borrow although financial indicators, including a debt service ratio, must be reported in their annual report. Additionally, they are restricted in that their borrowings may be secured only by giving security over their income from general rates or untied Government grants (section 6.21). Under section 6.21(3), the Treasurer has the power to make directions to local government in respect to borrowing.</w:t>
      </w:r>
    </w:p>
    <w:p w14:paraId="448B7EE5" w14:textId="22695DA6" w:rsidR="00CA7F75" w:rsidRPr="00940D18" w:rsidRDefault="7DCEF4FC" w:rsidP="7DCEF4FC">
      <w:pPr>
        <w:spacing w:after="120" w:line="276" w:lineRule="auto"/>
        <w:jc w:val="both"/>
        <w:rPr>
          <w:rFonts w:ascii="Arial" w:hAnsi="Arial" w:cs="Arial"/>
          <w:sz w:val="24"/>
          <w:szCs w:val="24"/>
        </w:rPr>
      </w:pPr>
      <w:r w:rsidRPr="7DCEF4FC">
        <w:rPr>
          <w:rFonts w:ascii="Arial" w:hAnsi="Arial" w:cs="Arial"/>
          <w:sz w:val="24"/>
          <w:szCs w:val="24"/>
        </w:rPr>
        <w:t xml:space="preserve">Debt is a contentious issue. Some people believe that debt should be avoided wherever possible. Another perspective is that the prudent use of debt serves a user pays philosophy by enabling multiple generations to contribute to infrastructure projects they will use into the future. </w:t>
      </w:r>
    </w:p>
    <w:p w14:paraId="5E498DE8" w14:textId="77777777" w:rsidR="007D63FF" w:rsidRDefault="7DCEF4FC" w:rsidP="7DCEF4FC">
      <w:pPr>
        <w:spacing w:after="120" w:line="276" w:lineRule="auto"/>
        <w:jc w:val="both"/>
        <w:rPr>
          <w:rFonts w:ascii="Arial" w:hAnsi="Arial" w:cs="Arial"/>
          <w:sz w:val="24"/>
          <w:szCs w:val="24"/>
        </w:rPr>
      </w:pPr>
      <w:r w:rsidRPr="7DCEF4FC">
        <w:rPr>
          <w:rFonts w:ascii="Arial" w:hAnsi="Arial" w:cs="Arial"/>
          <w:sz w:val="24"/>
          <w:szCs w:val="24"/>
        </w:rPr>
        <w:lastRenderedPageBreak/>
        <w:t xml:space="preserve">In 2014, an Australian Centre of Excellence for Local Government (ACLEG) report noted that local governments across Australia have low levels of debt relative to security, income levels and service responsibilities. </w:t>
      </w:r>
    </w:p>
    <w:p w14:paraId="368FF53A" w14:textId="4125B2CF" w:rsidR="00CA7F75" w:rsidRPr="00940D18" w:rsidRDefault="7DCEF4FC" w:rsidP="7DCEF4FC">
      <w:pPr>
        <w:spacing w:after="120" w:line="276" w:lineRule="auto"/>
        <w:jc w:val="both"/>
        <w:rPr>
          <w:rFonts w:ascii="Arial" w:hAnsi="Arial" w:cs="Arial"/>
          <w:sz w:val="24"/>
          <w:szCs w:val="24"/>
        </w:rPr>
      </w:pPr>
      <w:r w:rsidRPr="7DCEF4FC">
        <w:rPr>
          <w:rFonts w:ascii="Arial" w:hAnsi="Arial" w:cs="Arial"/>
          <w:sz w:val="24"/>
          <w:szCs w:val="24"/>
        </w:rPr>
        <w:t xml:space="preserve">For the four years between 2013-14 and 2016-17, the average Debt Service Cover Score across local governments in Western Australia was 8.2 out of a possible 10.  </w:t>
      </w:r>
    </w:p>
    <w:p w14:paraId="4BBF8A56" w14:textId="5D4A454B" w:rsidR="00CA7F75" w:rsidRPr="00940D18" w:rsidRDefault="7DCEF4FC" w:rsidP="7DCEF4FC">
      <w:pPr>
        <w:spacing w:after="120" w:line="276" w:lineRule="auto"/>
        <w:jc w:val="both"/>
        <w:rPr>
          <w:rFonts w:ascii="Arial" w:hAnsi="Arial" w:cs="Arial"/>
          <w:sz w:val="24"/>
          <w:szCs w:val="24"/>
        </w:rPr>
      </w:pPr>
      <w:r w:rsidRPr="7DCEF4FC">
        <w:rPr>
          <w:rFonts w:ascii="Arial" w:hAnsi="Arial" w:cs="Arial"/>
          <w:sz w:val="24"/>
          <w:szCs w:val="24"/>
        </w:rPr>
        <w:t>The Municipal Association of Victoria recommends that local government debt does not exceed 60% of their annual rate revenue. Further demonstrating Western Australian local governments’ conservative approach to debt, just three local governments in the state exceeded 60%, with the state-wide average being 16%. As noted by the Local Government Association of Tasmania, aiming for zero-debt usually results in under-investment in a council’s infrastructure assets and is a burden on current ratepayers.</w:t>
      </w:r>
    </w:p>
    <w:p w14:paraId="0E2ADE09" w14:textId="021E9D96" w:rsidR="00CA7F75" w:rsidRPr="00940D18" w:rsidRDefault="7DCEF4FC" w:rsidP="7DCEF4FC">
      <w:pPr>
        <w:spacing w:after="120" w:line="276" w:lineRule="auto"/>
        <w:jc w:val="both"/>
        <w:rPr>
          <w:rFonts w:ascii="Arial" w:hAnsi="Arial" w:cs="Arial"/>
          <w:sz w:val="24"/>
          <w:szCs w:val="24"/>
        </w:rPr>
      </w:pPr>
      <w:r w:rsidRPr="7DCEF4FC">
        <w:rPr>
          <w:rFonts w:ascii="Arial" w:hAnsi="Arial" w:cs="Arial"/>
          <w:sz w:val="24"/>
          <w:szCs w:val="24"/>
        </w:rPr>
        <w:t xml:space="preserve">To fund infrastructure, local governments in Western Australia will often access several grants from State and Commonwealth Government sources. Even if local governments then borrow </w:t>
      </w:r>
      <w:proofErr w:type="gramStart"/>
      <w:r w:rsidRPr="7DCEF4FC">
        <w:rPr>
          <w:rFonts w:ascii="Arial" w:hAnsi="Arial" w:cs="Arial"/>
          <w:sz w:val="24"/>
          <w:szCs w:val="24"/>
        </w:rPr>
        <w:t>in order to</w:t>
      </w:r>
      <w:proofErr w:type="gramEnd"/>
      <w:r w:rsidRPr="7DCEF4FC">
        <w:rPr>
          <w:rFonts w:ascii="Arial" w:hAnsi="Arial" w:cs="Arial"/>
          <w:sz w:val="24"/>
          <w:szCs w:val="24"/>
        </w:rPr>
        <w:t xml:space="preserve"> make a contribution themselves, this may constitute only a small part of the whole cost. </w:t>
      </w:r>
      <w:proofErr w:type="gramStart"/>
      <w:r w:rsidRPr="7DCEF4FC">
        <w:rPr>
          <w:rFonts w:ascii="Arial" w:hAnsi="Arial" w:cs="Arial"/>
          <w:sz w:val="24"/>
          <w:szCs w:val="24"/>
        </w:rPr>
        <w:t>Thus</w:t>
      </w:r>
      <w:proofErr w:type="gramEnd"/>
      <w:r w:rsidRPr="7DCEF4FC">
        <w:rPr>
          <w:rFonts w:ascii="Arial" w:hAnsi="Arial" w:cs="Arial"/>
          <w:sz w:val="24"/>
          <w:szCs w:val="24"/>
        </w:rPr>
        <w:t xml:space="preserve"> many local governments operate with a very small debt load. In 2016-17, the long-term liabilities of the sector were approximately $767 million compared to an annual operating revenue of more than $4.1 billion.</w:t>
      </w:r>
    </w:p>
    <w:p w14:paraId="1D94BC1D" w14:textId="77777777" w:rsidR="00CA7F75" w:rsidRPr="008A223C" w:rsidRDefault="7DCEF4FC" w:rsidP="7DCEF4FC">
      <w:pPr>
        <w:pStyle w:val="Heading2"/>
        <w:spacing w:before="0" w:after="120" w:line="276" w:lineRule="auto"/>
        <w:rPr>
          <w:rFonts w:ascii="Arial" w:hAnsi="Arial" w:cs="Arial"/>
          <w:color w:val="595959" w:themeColor="text1" w:themeTint="A6"/>
          <w:sz w:val="28"/>
          <w:szCs w:val="28"/>
        </w:rPr>
      </w:pPr>
      <w:bookmarkStart w:id="9" w:name="_Toc520440304"/>
      <w:r w:rsidRPr="7DCEF4FC">
        <w:rPr>
          <w:rFonts w:ascii="Arial" w:hAnsi="Arial" w:cs="Arial"/>
          <w:color w:val="595959" w:themeColor="text1" w:themeTint="A6"/>
          <w:sz w:val="28"/>
          <w:szCs w:val="28"/>
        </w:rPr>
        <w:t>What are the opportunities for reform?</w:t>
      </w:r>
      <w:bookmarkEnd w:id="9"/>
    </w:p>
    <w:p w14:paraId="6E016AE4" w14:textId="77777777" w:rsidR="00CA7F75" w:rsidRPr="008A223C" w:rsidRDefault="7DCEF4FC" w:rsidP="7DCEF4FC">
      <w:pPr>
        <w:spacing w:after="120" w:line="276" w:lineRule="auto"/>
        <w:jc w:val="both"/>
        <w:rPr>
          <w:rFonts w:ascii="Arial" w:hAnsi="Arial" w:cs="Arial"/>
          <w:b/>
          <w:bCs/>
          <w:color w:val="C00000"/>
          <w:sz w:val="24"/>
          <w:szCs w:val="24"/>
        </w:rPr>
      </w:pPr>
      <w:r w:rsidRPr="7DCEF4FC">
        <w:rPr>
          <w:rFonts w:ascii="Arial" w:hAnsi="Arial" w:cs="Arial"/>
          <w:b/>
          <w:bCs/>
          <w:color w:val="C00000"/>
          <w:sz w:val="24"/>
          <w:szCs w:val="24"/>
        </w:rPr>
        <w:t>Public notice of borrowing</w:t>
      </w:r>
    </w:p>
    <w:p w14:paraId="476E9C2C" w14:textId="77777777" w:rsidR="00CA7F75" w:rsidRPr="008A223C" w:rsidRDefault="7DCEF4FC" w:rsidP="7DCEF4FC">
      <w:pPr>
        <w:spacing w:after="120" w:line="276" w:lineRule="auto"/>
        <w:jc w:val="both"/>
        <w:rPr>
          <w:rFonts w:ascii="Arial" w:hAnsi="Arial" w:cs="Arial"/>
          <w:sz w:val="24"/>
          <w:szCs w:val="24"/>
        </w:rPr>
      </w:pPr>
      <w:r w:rsidRPr="7DCEF4FC">
        <w:rPr>
          <w:rFonts w:ascii="Arial" w:hAnsi="Arial" w:cs="Arial"/>
          <w:sz w:val="24"/>
          <w:szCs w:val="24"/>
        </w:rPr>
        <w:t>Local governments are required to give one month’s public notice in relation to borrowing in three circumstances:</w:t>
      </w:r>
    </w:p>
    <w:p w14:paraId="796A1AD3" w14:textId="7A870AD2" w:rsidR="00CA7F75" w:rsidRPr="008A223C" w:rsidRDefault="7DCEF4FC" w:rsidP="7DCEF4FC">
      <w:pPr>
        <w:pStyle w:val="ListParagraph"/>
        <w:numPr>
          <w:ilvl w:val="0"/>
          <w:numId w:val="19"/>
        </w:numPr>
        <w:spacing w:after="120" w:line="276" w:lineRule="auto"/>
        <w:jc w:val="both"/>
        <w:rPr>
          <w:rFonts w:ascii="Arial" w:hAnsi="Arial" w:cs="Arial"/>
          <w:sz w:val="24"/>
          <w:szCs w:val="24"/>
        </w:rPr>
      </w:pPr>
      <w:r w:rsidRPr="7DCEF4FC">
        <w:rPr>
          <w:rFonts w:ascii="Arial" w:hAnsi="Arial" w:cs="Arial"/>
          <w:sz w:val="24"/>
          <w:szCs w:val="24"/>
        </w:rPr>
        <w:t>Borrowing that has not been included in the annual budget;</w:t>
      </w:r>
    </w:p>
    <w:p w14:paraId="7693FE7F" w14:textId="5C991B37" w:rsidR="00CA7F75" w:rsidRPr="008A223C" w:rsidRDefault="7DCEF4FC" w:rsidP="7DCEF4FC">
      <w:pPr>
        <w:pStyle w:val="ListParagraph"/>
        <w:numPr>
          <w:ilvl w:val="0"/>
          <w:numId w:val="19"/>
        </w:numPr>
        <w:spacing w:after="120" w:line="276" w:lineRule="auto"/>
        <w:jc w:val="both"/>
        <w:rPr>
          <w:rFonts w:ascii="Arial" w:hAnsi="Arial" w:cs="Arial"/>
          <w:sz w:val="24"/>
          <w:szCs w:val="24"/>
        </w:rPr>
      </w:pPr>
      <w:r w:rsidRPr="7DCEF4FC">
        <w:rPr>
          <w:rFonts w:ascii="Arial" w:hAnsi="Arial" w:cs="Arial"/>
          <w:sz w:val="24"/>
          <w:szCs w:val="24"/>
        </w:rPr>
        <w:t>Where a local government has exercised its power to borrow for a purpose but no longer wishes to use the funds for that purpose; or</w:t>
      </w:r>
    </w:p>
    <w:p w14:paraId="26973311" w14:textId="158B1FB9" w:rsidR="00CA7F75" w:rsidRPr="008A223C" w:rsidRDefault="7DCEF4FC" w:rsidP="7DCEF4FC">
      <w:pPr>
        <w:pStyle w:val="ListParagraph"/>
        <w:numPr>
          <w:ilvl w:val="0"/>
          <w:numId w:val="19"/>
        </w:numPr>
        <w:spacing w:after="120" w:line="276" w:lineRule="auto"/>
        <w:jc w:val="both"/>
        <w:rPr>
          <w:rFonts w:ascii="Arial" w:hAnsi="Arial" w:cs="Arial"/>
          <w:sz w:val="24"/>
          <w:szCs w:val="24"/>
        </w:rPr>
      </w:pPr>
      <w:r w:rsidRPr="7DCEF4FC">
        <w:rPr>
          <w:rFonts w:ascii="Arial" w:hAnsi="Arial" w:cs="Arial"/>
          <w:sz w:val="24"/>
          <w:szCs w:val="24"/>
        </w:rPr>
        <w:t>Where a local government has exercised its power to borrow for a purpose and has funding left over.</w:t>
      </w:r>
    </w:p>
    <w:p w14:paraId="118EE06E" w14:textId="77777777" w:rsidR="00CA7F75" w:rsidRPr="008A223C" w:rsidRDefault="7DCEF4FC" w:rsidP="7DCEF4FC">
      <w:pPr>
        <w:spacing w:after="120" w:line="276" w:lineRule="auto"/>
        <w:jc w:val="both"/>
        <w:rPr>
          <w:rFonts w:ascii="Arial" w:hAnsi="Arial" w:cs="Arial"/>
          <w:sz w:val="24"/>
          <w:szCs w:val="24"/>
        </w:rPr>
      </w:pPr>
      <w:r w:rsidRPr="7DCEF4FC">
        <w:rPr>
          <w:rFonts w:ascii="Arial" w:hAnsi="Arial" w:cs="Arial"/>
          <w:sz w:val="24"/>
          <w:szCs w:val="24"/>
        </w:rPr>
        <w:t>Ceasing the requirement to give public notice would relieve an administrative burden (which local governments argue rarely generates community interest) but decrease financial transparency for this element of local government finances.</w:t>
      </w:r>
    </w:p>
    <w:p w14:paraId="314499DA" w14:textId="77777777" w:rsidR="00CA7F75" w:rsidRPr="008A223C" w:rsidRDefault="7DCEF4FC" w:rsidP="7DCEF4FC">
      <w:pPr>
        <w:keepNext/>
        <w:keepLines/>
        <w:spacing w:after="120" w:line="276" w:lineRule="auto"/>
        <w:jc w:val="both"/>
        <w:rPr>
          <w:rFonts w:ascii="Arial" w:hAnsi="Arial" w:cs="Arial"/>
          <w:b/>
          <w:bCs/>
          <w:color w:val="C00000"/>
          <w:sz w:val="24"/>
          <w:szCs w:val="24"/>
        </w:rPr>
      </w:pPr>
      <w:r w:rsidRPr="7DCEF4FC">
        <w:rPr>
          <w:rFonts w:ascii="Arial" w:hAnsi="Arial" w:cs="Arial"/>
          <w:b/>
          <w:bCs/>
          <w:color w:val="C00000"/>
          <w:sz w:val="24"/>
          <w:szCs w:val="24"/>
        </w:rPr>
        <w:t>Security over borrowing</w:t>
      </w:r>
    </w:p>
    <w:p w14:paraId="2FCF1B62" w14:textId="07B857FE" w:rsidR="00CA7F75" w:rsidRPr="008A223C" w:rsidRDefault="7DCEF4FC" w:rsidP="7DCEF4FC">
      <w:pPr>
        <w:keepNext/>
        <w:keepLines/>
        <w:spacing w:after="120" w:line="276" w:lineRule="auto"/>
        <w:jc w:val="both"/>
        <w:rPr>
          <w:rFonts w:ascii="Arial" w:hAnsi="Arial" w:cs="Arial"/>
          <w:sz w:val="24"/>
          <w:szCs w:val="24"/>
        </w:rPr>
      </w:pPr>
      <w:r w:rsidRPr="7DCEF4FC">
        <w:rPr>
          <w:rFonts w:ascii="Arial" w:hAnsi="Arial" w:cs="Arial"/>
          <w:sz w:val="24"/>
          <w:szCs w:val="24"/>
        </w:rPr>
        <w:t>Local governments are currently restricted from borrowing in that their borrowings may be secured only by giving security over their income from general rates or untied Government grants. Freeing local governments from this requirement may increase the legitimacy of borrowing as a financial management tool and serve to reduce the stigma associated with local government debt.</w:t>
      </w:r>
    </w:p>
    <w:p w14:paraId="375A5A9D" w14:textId="3B29847A" w:rsidR="00CA7F75" w:rsidRPr="008A223C" w:rsidRDefault="7DCEF4FC" w:rsidP="7DCEF4FC">
      <w:pPr>
        <w:spacing w:after="120" w:line="276" w:lineRule="auto"/>
        <w:jc w:val="both"/>
        <w:rPr>
          <w:rFonts w:ascii="Arial" w:hAnsi="Arial" w:cs="Arial"/>
          <w:sz w:val="24"/>
          <w:szCs w:val="24"/>
        </w:rPr>
      </w:pPr>
      <w:r w:rsidRPr="7DCEF4FC">
        <w:rPr>
          <w:rFonts w:ascii="Arial" w:hAnsi="Arial" w:cs="Arial"/>
          <w:sz w:val="24"/>
          <w:szCs w:val="24"/>
        </w:rPr>
        <w:t xml:space="preserve">Some local governments have contended that they should be permitted to secure funds using their assets. Local governments have suggested that ‘commercial’ assets </w:t>
      </w:r>
      <w:r w:rsidRPr="7DCEF4FC">
        <w:rPr>
          <w:rFonts w:ascii="Arial" w:hAnsi="Arial" w:cs="Arial"/>
          <w:sz w:val="24"/>
          <w:szCs w:val="24"/>
        </w:rPr>
        <w:lastRenderedPageBreak/>
        <w:t>such as property and infrastructure like airfields could be used to secure loans at competitive rates. Many of the land assets that are held by the local government are under their care and control, not outright ownership. Some local governments do own land freehold.</w:t>
      </w:r>
    </w:p>
    <w:p w14:paraId="205314F9" w14:textId="77777777" w:rsidR="00CA7F75" w:rsidRPr="00C900CA" w:rsidRDefault="7DCEF4FC" w:rsidP="7DCEF4FC">
      <w:pPr>
        <w:pStyle w:val="Heading1"/>
        <w:spacing w:before="0" w:after="120" w:line="276" w:lineRule="auto"/>
        <w:rPr>
          <w:rFonts w:ascii="Arial" w:hAnsi="Arial" w:cs="Arial"/>
          <w:color w:val="C0311A"/>
        </w:rPr>
      </w:pPr>
      <w:bookmarkStart w:id="10" w:name="_Toc520440296"/>
      <w:bookmarkStart w:id="11" w:name="_Toc520440306"/>
      <w:r w:rsidRPr="7DCEF4FC">
        <w:rPr>
          <w:rFonts w:ascii="Arial" w:hAnsi="Arial" w:cs="Arial"/>
          <w:color w:val="C0311A"/>
        </w:rPr>
        <w:t>Procurement</w:t>
      </w:r>
      <w:bookmarkEnd w:id="10"/>
    </w:p>
    <w:p w14:paraId="2E58696D" w14:textId="63138748" w:rsidR="00CA7F75" w:rsidRPr="008A223C" w:rsidRDefault="00CA7F75" w:rsidP="7DCEF4FC">
      <w:pPr>
        <w:spacing w:after="120" w:line="276" w:lineRule="auto"/>
        <w:jc w:val="both"/>
        <w:rPr>
          <w:rFonts w:ascii="Arial" w:hAnsi="Arial" w:cs="Arial"/>
          <w:sz w:val="24"/>
          <w:szCs w:val="24"/>
        </w:rPr>
      </w:pPr>
      <w:r w:rsidRPr="7DCEF4FC">
        <w:rPr>
          <w:rFonts w:ascii="Arial" w:hAnsi="Arial" w:cs="Arial"/>
          <w:sz w:val="24"/>
          <w:szCs w:val="24"/>
        </w:rPr>
        <w:t>Local governments are significant procurers of goods, services</w:t>
      </w:r>
      <w:r w:rsidR="00CD2AE3" w:rsidRPr="7DCEF4FC">
        <w:rPr>
          <w:rFonts w:ascii="Arial" w:hAnsi="Arial" w:cs="Arial"/>
          <w:sz w:val="24"/>
          <w:szCs w:val="24"/>
        </w:rPr>
        <w:t xml:space="preserve"> and capital supplies.  In 2016</w:t>
      </w:r>
      <w:r w:rsidR="00CD2AE3" w:rsidRPr="008A223C">
        <w:rPr>
          <w:rFonts w:ascii="Arial" w:hAnsi="Arial" w:cs="Arial"/>
          <w:sz w:val="24"/>
        </w:rPr>
        <w:noBreakHyphen/>
      </w:r>
      <w:r w:rsidRPr="7DCEF4FC">
        <w:rPr>
          <w:rFonts w:ascii="Arial" w:hAnsi="Arial" w:cs="Arial"/>
          <w:sz w:val="24"/>
          <w:szCs w:val="24"/>
        </w:rPr>
        <w:t>17, local governments spent more than $1.1 billion on materials and services.</w:t>
      </w:r>
    </w:p>
    <w:p w14:paraId="1930D7BD" w14:textId="707C00FA" w:rsidR="7AAE6F21" w:rsidRPr="008A223C" w:rsidRDefault="7DCEF4FC" w:rsidP="7DCEF4FC">
      <w:pPr>
        <w:spacing w:after="120" w:line="276" w:lineRule="auto"/>
        <w:jc w:val="both"/>
        <w:rPr>
          <w:rFonts w:ascii="Arial" w:hAnsi="Arial" w:cs="Arial"/>
          <w:sz w:val="24"/>
          <w:szCs w:val="24"/>
        </w:rPr>
      </w:pPr>
      <w:r w:rsidRPr="7DCEF4FC">
        <w:rPr>
          <w:rFonts w:ascii="Arial" w:hAnsi="Arial" w:cs="Arial"/>
          <w:sz w:val="24"/>
          <w:szCs w:val="24"/>
        </w:rPr>
        <w:t xml:space="preserve">The </w:t>
      </w:r>
      <w:r w:rsidRPr="7DCEF4FC">
        <w:rPr>
          <w:rFonts w:ascii="Arial" w:hAnsi="Arial" w:cs="Arial"/>
          <w:i/>
          <w:iCs/>
          <w:sz w:val="24"/>
          <w:szCs w:val="24"/>
        </w:rPr>
        <w:t>Local Government (Functions and General) Regulations 1996</w:t>
      </w:r>
      <w:r w:rsidRPr="7DCEF4FC">
        <w:rPr>
          <w:rFonts w:ascii="Arial" w:hAnsi="Arial" w:cs="Arial"/>
          <w:sz w:val="24"/>
          <w:szCs w:val="24"/>
        </w:rPr>
        <w:t xml:space="preserve"> establish procurement rules for local government.  </w:t>
      </w:r>
    </w:p>
    <w:p w14:paraId="49845FA7" w14:textId="14E98AFD" w:rsidR="00CA7F75" w:rsidRPr="008A223C" w:rsidRDefault="7DCEF4FC" w:rsidP="7DCEF4FC">
      <w:pPr>
        <w:spacing w:after="120" w:line="276" w:lineRule="auto"/>
        <w:jc w:val="both"/>
        <w:rPr>
          <w:rFonts w:ascii="Arial" w:hAnsi="Arial" w:cs="Arial"/>
          <w:sz w:val="24"/>
          <w:szCs w:val="24"/>
        </w:rPr>
      </w:pPr>
      <w:r w:rsidRPr="7DCEF4FC">
        <w:rPr>
          <w:rFonts w:ascii="Arial" w:hAnsi="Arial" w:cs="Arial"/>
          <w:sz w:val="24"/>
          <w:szCs w:val="24"/>
        </w:rPr>
        <w:t>Currently, Western Australian local governments are exempt from the requirement to invite tenders in relation to contracts involving an estimated expenditure or receipt of an amount of less than $150,000. When inviting public tenders, the local government is required to issue a State-wide public notice providing at least 14 days for interested parties to respond.</w:t>
      </w:r>
    </w:p>
    <w:tbl>
      <w:tblPr>
        <w:tblStyle w:val="TableGrid"/>
        <w:tblW w:w="9356" w:type="dxa"/>
        <w:tblInd w:w="-147" w:type="dxa"/>
        <w:shd w:val="clear" w:color="auto" w:fill="C0311A"/>
        <w:tblLook w:val="04A0" w:firstRow="1" w:lastRow="0" w:firstColumn="1" w:lastColumn="0" w:noHBand="0" w:noVBand="1"/>
      </w:tblPr>
      <w:tblGrid>
        <w:gridCol w:w="9356"/>
      </w:tblGrid>
      <w:tr w:rsidR="00C900CA" w:rsidRPr="00C900CA" w14:paraId="21890690" w14:textId="77777777" w:rsidTr="7DCEF4FC">
        <w:trPr>
          <w:cnfStyle w:val="100000000000" w:firstRow="1" w:lastRow="0" w:firstColumn="0" w:lastColumn="0" w:oddVBand="0" w:evenVBand="0" w:oddHBand="0" w:evenHBand="0" w:firstRowFirstColumn="0" w:firstRowLastColumn="0" w:lastRowFirstColumn="0" w:lastRowLastColumn="0"/>
        </w:trPr>
        <w:tc>
          <w:tcPr>
            <w:tcW w:w="9356" w:type="dxa"/>
            <w:shd w:val="clear" w:color="auto" w:fill="C0311A"/>
          </w:tcPr>
          <w:p w14:paraId="765665E7" w14:textId="77777777" w:rsidR="00CA7F75" w:rsidRPr="008E2508" w:rsidRDefault="7DCEF4FC" w:rsidP="7DCEF4FC">
            <w:pPr>
              <w:spacing w:before="0" w:after="120" w:line="276" w:lineRule="auto"/>
              <w:jc w:val="both"/>
              <w:rPr>
                <w:rFonts w:cs="Arial"/>
                <w:b w:val="0"/>
                <w:color w:val="FFFFFF" w:themeColor="background1"/>
              </w:rPr>
            </w:pPr>
            <w:r w:rsidRPr="7DCEF4FC">
              <w:rPr>
                <w:rFonts w:cs="Arial"/>
                <w:b w:val="0"/>
                <w:color w:val="FFFFFF" w:themeColor="background1"/>
              </w:rPr>
              <w:t xml:space="preserve">Regulation 11(2) of the </w:t>
            </w:r>
            <w:r w:rsidRPr="7DCEF4FC">
              <w:rPr>
                <w:rFonts w:cs="Arial"/>
                <w:b w:val="0"/>
                <w:i/>
                <w:iCs/>
                <w:color w:val="FFFFFF" w:themeColor="background1"/>
              </w:rPr>
              <w:t>Local Government (Functions and General) Regulations 1995</w:t>
            </w:r>
            <w:r w:rsidRPr="7DCEF4FC">
              <w:rPr>
                <w:rFonts w:cs="Arial"/>
                <w:b w:val="0"/>
                <w:color w:val="FFFFFF" w:themeColor="background1"/>
              </w:rPr>
              <w:t xml:space="preserve"> provides for multiple scenarios where goods and services over $150,000 do not need to be publicly invited:</w:t>
            </w:r>
          </w:p>
          <w:p w14:paraId="6B903FC2" w14:textId="77777777" w:rsidR="00CA7F75" w:rsidRPr="008E2508" w:rsidRDefault="7DCEF4FC" w:rsidP="7DCEF4FC">
            <w:pPr>
              <w:pStyle w:val="ListParagraph"/>
              <w:numPr>
                <w:ilvl w:val="0"/>
                <w:numId w:val="3"/>
              </w:numPr>
              <w:spacing w:before="0" w:after="120" w:line="276" w:lineRule="auto"/>
              <w:jc w:val="both"/>
              <w:rPr>
                <w:rFonts w:cs="Arial"/>
                <w:b w:val="0"/>
                <w:color w:val="FFFFFF" w:themeColor="background1"/>
              </w:rPr>
            </w:pPr>
            <w:bookmarkStart w:id="12" w:name="_Hlk517438100"/>
            <w:r w:rsidRPr="7DCEF4FC">
              <w:rPr>
                <w:rFonts w:cs="Arial"/>
                <w:b w:val="0"/>
                <w:color w:val="FFFFFF" w:themeColor="background1"/>
              </w:rPr>
              <w:t>from expenditure authorised in an emergency;</w:t>
            </w:r>
          </w:p>
          <w:p w14:paraId="17EAE499" w14:textId="77777777" w:rsidR="00CA7F75" w:rsidRPr="008E2508" w:rsidRDefault="7DCEF4FC" w:rsidP="7DCEF4FC">
            <w:pPr>
              <w:pStyle w:val="ListParagraph"/>
              <w:numPr>
                <w:ilvl w:val="0"/>
                <w:numId w:val="3"/>
              </w:numPr>
              <w:spacing w:before="0" w:after="120" w:line="276" w:lineRule="auto"/>
              <w:jc w:val="both"/>
              <w:rPr>
                <w:rFonts w:cs="Arial"/>
                <w:b w:val="0"/>
                <w:color w:val="FFFFFF" w:themeColor="background1"/>
              </w:rPr>
            </w:pPr>
            <w:r w:rsidRPr="7DCEF4FC">
              <w:rPr>
                <w:rFonts w:cs="Arial"/>
                <w:b w:val="0"/>
                <w:color w:val="FFFFFF" w:themeColor="background1"/>
              </w:rPr>
              <w:t xml:space="preserve">through the Western Australian Local Government Association Preferred Supplier Program; </w:t>
            </w:r>
          </w:p>
          <w:p w14:paraId="29508372" w14:textId="77777777" w:rsidR="00CA7F75" w:rsidRPr="008E2508" w:rsidRDefault="7DCEF4FC" w:rsidP="7DCEF4FC">
            <w:pPr>
              <w:pStyle w:val="ListParagraph"/>
              <w:numPr>
                <w:ilvl w:val="0"/>
                <w:numId w:val="3"/>
              </w:numPr>
              <w:spacing w:before="0" w:after="120" w:line="276" w:lineRule="auto"/>
              <w:jc w:val="both"/>
              <w:rPr>
                <w:rFonts w:cs="Arial"/>
                <w:b w:val="0"/>
                <w:color w:val="FFFFFF" w:themeColor="background1"/>
              </w:rPr>
            </w:pPr>
            <w:r w:rsidRPr="7DCEF4FC">
              <w:rPr>
                <w:rFonts w:cs="Arial"/>
                <w:b w:val="0"/>
                <w:color w:val="FFFFFF" w:themeColor="background1"/>
              </w:rPr>
              <w:t>within the last six months the local government has publicly invited tenders, but no tender was deemed satisfactory or if the local government has previously sought expressions of interest but no person as a result had been deemed satisfactory;</w:t>
            </w:r>
          </w:p>
          <w:p w14:paraId="10CF794B" w14:textId="77777777" w:rsidR="00CA7F75" w:rsidRPr="008E2508" w:rsidRDefault="7DCEF4FC" w:rsidP="7DCEF4FC">
            <w:pPr>
              <w:pStyle w:val="ListParagraph"/>
              <w:numPr>
                <w:ilvl w:val="0"/>
                <w:numId w:val="3"/>
              </w:numPr>
              <w:spacing w:before="0" w:after="120" w:line="276" w:lineRule="auto"/>
              <w:jc w:val="both"/>
              <w:rPr>
                <w:rFonts w:cs="Arial"/>
                <w:b w:val="0"/>
                <w:color w:val="FFFFFF" w:themeColor="background1"/>
              </w:rPr>
            </w:pPr>
            <w:r w:rsidRPr="7DCEF4FC">
              <w:rPr>
                <w:rFonts w:cs="Arial"/>
                <w:b w:val="0"/>
                <w:color w:val="FFFFFF" w:themeColor="background1"/>
              </w:rPr>
              <w:t>the contract is determined via an auction (only by resolution of Council);</w:t>
            </w:r>
          </w:p>
          <w:p w14:paraId="026CF3AA" w14:textId="77777777" w:rsidR="00CA7F75" w:rsidRPr="008E2508" w:rsidRDefault="7DCEF4FC" w:rsidP="7DCEF4FC">
            <w:pPr>
              <w:pStyle w:val="ListParagraph"/>
              <w:numPr>
                <w:ilvl w:val="0"/>
                <w:numId w:val="3"/>
              </w:numPr>
              <w:spacing w:before="0" w:after="120" w:line="276" w:lineRule="auto"/>
              <w:jc w:val="both"/>
              <w:rPr>
                <w:rFonts w:cs="Arial"/>
                <w:b w:val="0"/>
                <w:color w:val="FFFFFF" w:themeColor="background1"/>
              </w:rPr>
            </w:pPr>
            <w:r w:rsidRPr="7DCEF4FC">
              <w:rPr>
                <w:rFonts w:cs="Arial"/>
                <w:b w:val="0"/>
                <w:color w:val="FFFFFF" w:themeColor="background1"/>
              </w:rPr>
              <w:t>the goods or services are to be supplied through the State or Commonwealth Government;</w:t>
            </w:r>
          </w:p>
          <w:p w14:paraId="28CC63D3" w14:textId="77777777" w:rsidR="00CA7F75" w:rsidRPr="008E2508" w:rsidRDefault="7DCEF4FC" w:rsidP="7DCEF4FC">
            <w:pPr>
              <w:pStyle w:val="ListParagraph"/>
              <w:numPr>
                <w:ilvl w:val="0"/>
                <w:numId w:val="3"/>
              </w:numPr>
              <w:spacing w:before="0" w:after="120" w:line="276" w:lineRule="auto"/>
              <w:jc w:val="both"/>
              <w:rPr>
                <w:rFonts w:cs="Arial"/>
                <w:b w:val="0"/>
                <w:color w:val="FFFFFF" w:themeColor="background1"/>
              </w:rPr>
            </w:pPr>
            <w:r w:rsidRPr="7DCEF4FC">
              <w:rPr>
                <w:rFonts w:cs="Arial"/>
                <w:b w:val="0"/>
                <w:color w:val="FFFFFF" w:themeColor="background1"/>
              </w:rPr>
              <w:t>for goods or services related to land involved in a boundary change;</w:t>
            </w:r>
          </w:p>
          <w:p w14:paraId="441E6FCB" w14:textId="77777777" w:rsidR="00CA7F75" w:rsidRPr="008E2508" w:rsidRDefault="7DCEF4FC" w:rsidP="7DCEF4FC">
            <w:pPr>
              <w:pStyle w:val="ListParagraph"/>
              <w:numPr>
                <w:ilvl w:val="0"/>
                <w:numId w:val="3"/>
              </w:numPr>
              <w:spacing w:before="0" w:after="120" w:line="276" w:lineRule="auto"/>
              <w:jc w:val="both"/>
              <w:rPr>
                <w:rFonts w:cs="Arial"/>
                <w:b w:val="0"/>
                <w:color w:val="FFFFFF" w:themeColor="background1"/>
              </w:rPr>
            </w:pPr>
            <w:r w:rsidRPr="7DCEF4FC">
              <w:rPr>
                <w:rFonts w:cs="Arial"/>
                <w:b w:val="0"/>
                <w:color w:val="FFFFFF" w:themeColor="background1"/>
              </w:rPr>
              <w:t>the local government has good reason to believe that it is unlikely that there is more than one potential supplier;</w:t>
            </w:r>
          </w:p>
          <w:p w14:paraId="5EB39CEE" w14:textId="77777777" w:rsidR="00CA7F75" w:rsidRPr="008E2508" w:rsidRDefault="7DCEF4FC" w:rsidP="7DCEF4FC">
            <w:pPr>
              <w:pStyle w:val="ListParagraph"/>
              <w:numPr>
                <w:ilvl w:val="0"/>
                <w:numId w:val="3"/>
              </w:numPr>
              <w:spacing w:before="0" w:after="120" w:line="276" w:lineRule="auto"/>
              <w:jc w:val="both"/>
              <w:rPr>
                <w:rFonts w:cs="Arial"/>
                <w:b w:val="0"/>
                <w:color w:val="FFFFFF" w:themeColor="background1"/>
              </w:rPr>
            </w:pPr>
            <w:r w:rsidRPr="7DCEF4FC">
              <w:rPr>
                <w:rFonts w:cs="Arial"/>
                <w:b w:val="0"/>
                <w:color w:val="FFFFFF" w:themeColor="background1"/>
              </w:rPr>
              <w:t>purchases of petrol, oil or fuel for internal combustion engines;</w:t>
            </w:r>
          </w:p>
          <w:p w14:paraId="2B983CAA" w14:textId="77777777" w:rsidR="00CA7F75" w:rsidRPr="008E2508" w:rsidRDefault="7DCEF4FC" w:rsidP="7DCEF4FC">
            <w:pPr>
              <w:pStyle w:val="ListParagraph"/>
              <w:numPr>
                <w:ilvl w:val="0"/>
                <w:numId w:val="3"/>
              </w:numPr>
              <w:spacing w:before="0" w:after="120" w:line="276" w:lineRule="auto"/>
              <w:jc w:val="both"/>
              <w:rPr>
                <w:rFonts w:cs="Arial"/>
                <w:b w:val="0"/>
                <w:color w:val="FFFFFF" w:themeColor="background1"/>
              </w:rPr>
            </w:pPr>
            <w:r w:rsidRPr="7DCEF4FC">
              <w:rPr>
                <w:rFonts w:cs="Arial"/>
                <w:b w:val="0"/>
                <w:color w:val="FFFFFF" w:themeColor="background1"/>
              </w:rPr>
              <w:t>the goods or services worth up to $250,000 supplied by a person registered on the Aboriginal Business Directory WA;</w:t>
            </w:r>
          </w:p>
          <w:p w14:paraId="0A5C164F" w14:textId="77777777" w:rsidR="00CA7F75" w:rsidRPr="008E2508" w:rsidRDefault="7DCEF4FC" w:rsidP="7DCEF4FC">
            <w:pPr>
              <w:pStyle w:val="ListParagraph"/>
              <w:numPr>
                <w:ilvl w:val="0"/>
                <w:numId w:val="3"/>
              </w:numPr>
              <w:spacing w:before="0" w:after="120" w:line="276" w:lineRule="auto"/>
              <w:jc w:val="both"/>
              <w:rPr>
                <w:rFonts w:cs="Arial"/>
                <w:b w:val="0"/>
                <w:color w:val="FFFFFF" w:themeColor="background1"/>
              </w:rPr>
            </w:pPr>
            <w:r w:rsidRPr="7DCEF4FC">
              <w:rPr>
                <w:rFonts w:cs="Arial"/>
                <w:b w:val="0"/>
                <w:color w:val="FFFFFF" w:themeColor="background1"/>
              </w:rPr>
              <w:t>the goods or services are to be supplied by an Australian Disability Enterprise; or</w:t>
            </w:r>
          </w:p>
          <w:p w14:paraId="09D0924B" w14:textId="77777777" w:rsidR="00CA7F75" w:rsidRPr="00C900CA" w:rsidRDefault="7DCEF4FC" w:rsidP="7DCEF4FC">
            <w:pPr>
              <w:pStyle w:val="ListParagraph"/>
              <w:numPr>
                <w:ilvl w:val="0"/>
                <w:numId w:val="3"/>
              </w:numPr>
              <w:spacing w:before="0" w:after="120" w:line="276" w:lineRule="auto"/>
              <w:jc w:val="both"/>
              <w:rPr>
                <w:rFonts w:cs="Arial"/>
                <w:b w:val="0"/>
                <w:color w:val="FFFFFF" w:themeColor="background1"/>
                <w:sz w:val="22"/>
              </w:rPr>
            </w:pPr>
            <w:r w:rsidRPr="7DCEF4FC">
              <w:rPr>
                <w:rFonts w:cs="Arial"/>
                <w:b w:val="0"/>
                <w:color w:val="FFFFFF" w:themeColor="background1"/>
              </w:rPr>
              <w:t xml:space="preserve">the contract is a renewal or extension where an open tender was used and the contract had the option for extension. </w:t>
            </w:r>
            <w:bookmarkEnd w:id="12"/>
          </w:p>
        </w:tc>
      </w:tr>
    </w:tbl>
    <w:p w14:paraId="7C70249D" w14:textId="77777777" w:rsidR="008E2508" w:rsidRDefault="008E2508" w:rsidP="00CA7F75">
      <w:pPr>
        <w:spacing w:after="120" w:line="276" w:lineRule="auto"/>
        <w:jc w:val="both"/>
        <w:rPr>
          <w:rFonts w:ascii="Arial" w:hAnsi="Arial" w:cs="Arial"/>
          <w:sz w:val="24"/>
        </w:rPr>
      </w:pPr>
    </w:p>
    <w:p w14:paraId="20CD8873" w14:textId="54F60023" w:rsidR="00CA7F75" w:rsidRPr="008A223C" w:rsidRDefault="7DCEF4FC" w:rsidP="7DCEF4FC">
      <w:pPr>
        <w:spacing w:after="120" w:line="276" w:lineRule="auto"/>
        <w:jc w:val="both"/>
        <w:rPr>
          <w:rFonts w:ascii="Arial" w:hAnsi="Arial" w:cs="Arial"/>
          <w:sz w:val="24"/>
          <w:szCs w:val="24"/>
        </w:rPr>
      </w:pPr>
      <w:r w:rsidRPr="7DCEF4FC">
        <w:rPr>
          <w:rFonts w:ascii="Arial" w:hAnsi="Arial" w:cs="Arial"/>
          <w:sz w:val="24"/>
          <w:szCs w:val="24"/>
        </w:rPr>
        <w:lastRenderedPageBreak/>
        <w:t>Under Regulation 24AD, local governments are also permitted to establish a panel of pre-qualified suppliers. In this case the local government is required to issue an invitation to apply to join the panel.</w:t>
      </w:r>
    </w:p>
    <w:p w14:paraId="07F857DB" w14:textId="77777777" w:rsidR="00CA7F75" w:rsidRPr="008A223C" w:rsidRDefault="7DCEF4FC" w:rsidP="7DCEF4FC">
      <w:pPr>
        <w:spacing w:after="120" w:line="276" w:lineRule="auto"/>
        <w:jc w:val="both"/>
        <w:rPr>
          <w:rFonts w:ascii="Arial" w:hAnsi="Arial" w:cs="Arial"/>
          <w:sz w:val="24"/>
          <w:szCs w:val="24"/>
        </w:rPr>
      </w:pPr>
      <w:r w:rsidRPr="7DCEF4FC">
        <w:rPr>
          <w:rFonts w:ascii="Arial" w:hAnsi="Arial" w:cs="Arial"/>
          <w:sz w:val="24"/>
          <w:szCs w:val="24"/>
        </w:rPr>
        <w:t>When assessing publicly advertised tenders, regulation 18(4) requires that local governments employ a written evaluation to determine the tender that satisfies the criteria and is the most advantageous to the local government to accept.</w:t>
      </w:r>
    </w:p>
    <w:p w14:paraId="11CE3DF6" w14:textId="77777777" w:rsidR="007D63FF" w:rsidRDefault="7DCEF4FC" w:rsidP="7DCEF4FC">
      <w:pPr>
        <w:spacing w:after="120" w:line="276" w:lineRule="auto"/>
        <w:jc w:val="both"/>
        <w:rPr>
          <w:rFonts w:ascii="Arial" w:hAnsi="Arial" w:cs="Arial"/>
          <w:sz w:val="24"/>
          <w:szCs w:val="24"/>
        </w:rPr>
      </w:pPr>
      <w:r w:rsidRPr="7DCEF4FC">
        <w:rPr>
          <w:rFonts w:ascii="Arial" w:hAnsi="Arial" w:cs="Arial"/>
          <w:sz w:val="24"/>
          <w:szCs w:val="24"/>
        </w:rPr>
        <w:t xml:space="preserve">Local governments have consistently advocated for raising the threshold where public tenders must be advertised. Some local governments have argued that council should have discretion in setting their own rules for procurement, including tender thresholds.  </w:t>
      </w:r>
    </w:p>
    <w:p w14:paraId="5D4F2940" w14:textId="7A4A5C92" w:rsidR="00CA7F75" w:rsidRPr="008A223C" w:rsidRDefault="7DCEF4FC" w:rsidP="7DCEF4FC">
      <w:pPr>
        <w:spacing w:after="120" w:line="276" w:lineRule="auto"/>
        <w:jc w:val="both"/>
        <w:rPr>
          <w:rFonts w:ascii="Arial" w:hAnsi="Arial" w:cs="Arial"/>
          <w:sz w:val="24"/>
          <w:szCs w:val="24"/>
        </w:rPr>
      </w:pPr>
      <w:r w:rsidRPr="7DCEF4FC">
        <w:rPr>
          <w:rFonts w:ascii="Arial" w:hAnsi="Arial" w:cs="Arial"/>
          <w:sz w:val="24"/>
          <w:szCs w:val="24"/>
        </w:rPr>
        <w:t xml:space="preserve">Throughout this review, local governments both large and small have called for less prescription in procurement rules because of the investment required to comply with open tender rules. These concerns must be balanced with the need for a procurement framework that provides confidence for suppliers and the community. High profile breaches of tendering rules have reduced this confidence. Concerns regarding procurement practices is one of the major sources of community complaints to the Department.  </w:t>
      </w:r>
    </w:p>
    <w:p w14:paraId="40EE5B09" w14:textId="77777777" w:rsidR="00CA7F75" w:rsidRPr="008A223C" w:rsidRDefault="7DCEF4FC" w:rsidP="7DCEF4FC">
      <w:pPr>
        <w:spacing w:after="120" w:line="276" w:lineRule="auto"/>
        <w:jc w:val="both"/>
        <w:rPr>
          <w:rFonts w:ascii="Arial" w:hAnsi="Arial" w:cs="Arial"/>
          <w:sz w:val="24"/>
          <w:szCs w:val="24"/>
        </w:rPr>
      </w:pPr>
      <w:r w:rsidRPr="7DCEF4FC">
        <w:rPr>
          <w:rFonts w:ascii="Arial" w:hAnsi="Arial" w:cs="Arial"/>
          <w:sz w:val="24"/>
          <w:szCs w:val="24"/>
        </w:rPr>
        <w:t>The following table describes the threshold for public invitation (tendering) in other Australian jurisdictions.</w:t>
      </w:r>
    </w:p>
    <w:tbl>
      <w:tblPr>
        <w:tblStyle w:val="DLGCTable-Form2"/>
        <w:tblW w:w="8642" w:type="dxa"/>
        <w:tblLayout w:type="fixed"/>
        <w:tblLook w:val="04A0" w:firstRow="1" w:lastRow="0" w:firstColumn="1" w:lastColumn="0" w:noHBand="0" w:noVBand="1"/>
      </w:tblPr>
      <w:tblGrid>
        <w:gridCol w:w="2689"/>
        <w:gridCol w:w="5953"/>
      </w:tblGrid>
      <w:tr w:rsidR="00C900CA" w:rsidRPr="00C900CA" w14:paraId="30B88F6F" w14:textId="77777777" w:rsidTr="7DCEF4FC">
        <w:trPr>
          <w:cnfStyle w:val="100000000000" w:firstRow="1" w:lastRow="0" w:firstColumn="0" w:lastColumn="0" w:oddVBand="0" w:evenVBand="0" w:oddHBand="0" w:evenHBand="0" w:firstRowFirstColumn="0" w:firstRowLastColumn="0" w:lastRowFirstColumn="0" w:lastRowLastColumn="0"/>
          <w:trHeight w:val="796"/>
        </w:trPr>
        <w:tc>
          <w:tcPr>
            <w:tcW w:w="2689" w:type="dxa"/>
            <w:shd w:val="clear" w:color="auto" w:fill="C0311A"/>
          </w:tcPr>
          <w:p w14:paraId="1327397F" w14:textId="77777777" w:rsidR="00CA7F75" w:rsidRPr="008E2508" w:rsidRDefault="7DCEF4FC" w:rsidP="7DCEF4FC">
            <w:pPr>
              <w:spacing w:before="0" w:after="120" w:line="276" w:lineRule="auto"/>
              <w:rPr>
                <w:rFonts w:cs="Arial"/>
                <w:color w:val="FFFFFF" w:themeColor="background1"/>
              </w:rPr>
            </w:pPr>
            <w:r w:rsidRPr="7DCEF4FC">
              <w:rPr>
                <w:rFonts w:cs="Arial"/>
                <w:color w:val="FFFFFF" w:themeColor="background1"/>
              </w:rPr>
              <w:t>Jurisdiction</w:t>
            </w:r>
          </w:p>
        </w:tc>
        <w:tc>
          <w:tcPr>
            <w:tcW w:w="5953" w:type="dxa"/>
            <w:shd w:val="clear" w:color="auto" w:fill="C0311A"/>
          </w:tcPr>
          <w:p w14:paraId="62D56CB7" w14:textId="77777777" w:rsidR="00CA7F75" w:rsidRPr="008E2508" w:rsidRDefault="7DCEF4FC" w:rsidP="7DCEF4FC">
            <w:pPr>
              <w:spacing w:before="0" w:after="120" w:line="276" w:lineRule="auto"/>
              <w:rPr>
                <w:rFonts w:cs="Arial"/>
                <w:color w:val="FFFFFF" w:themeColor="background1"/>
              </w:rPr>
            </w:pPr>
            <w:r w:rsidRPr="7DCEF4FC">
              <w:rPr>
                <w:rFonts w:cs="Arial"/>
                <w:color w:val="FFFFFF" w:themeColor="background1"/>
              </w:rPr>
              <w:t>Threshold for public invitation</w:t>
            </w:r>
          </w:p>
        </w:tc>
      </w:tr>
      <w:tr w:rsidR="00CA7F75" w:rsidRPr="00FC154F" w14:paraId="7258AAAF" w14:textId="77777777" w:rsidTr="7DCEF4FC">
        <w:trPr>
          <w:trHeight w:val="481"/>
        </w:trPr>
        <w:tc>
          <w:tcPr>
            <w:tcW w:w="2689" w:type="dxa"/>
            <w:vAlign w:val="center"/>
          </w:tcPr>
          <w:p w14:paraId="33635ED4" w14:textId="77777777" w:rsidR="00CA7F75" w:rsidRPr="008E2508" w:rsidRDefault="7DCEF4FC" w:rsidP="7DCEF4FC">
            <w:pPr>
              <w:spacing w:before="0" w:after="120" w:line="276" w:lineRule="auto"/>
              <w:rPr>
                <w:rFonts w:eastAsia="Arial" w:cs="Arial"/>
              </w:rPr>
            </w:pPr>
            <w:r w:rsidRPr="7DCEF4FC">
              <w:rPr>
                <w:rFonts w:cs="Arial"/>
              </w:rPr>
              <w:t>New South Wales</w:t>
            </w:r>
          </w:p>
        </w:tc>
        <w:tc>
          <w:tcPr>
            <w:tcW w:w="5953" w:type="dxa"/>
            <w:vAlign w:val="center"/>
          </w:tcPr>
          <w:p w14:paraId="0639CC20" w14:textId="77777777" w:rsidR="00CA7F75" w:rsidRPr="008E2508" w:rsidRDefault="7DCEF4FC" w:rsidP="7DCEF4FC">
            <w:pPr>
              <w:spacing w:before="0" w:after="120" w:line="276" w:lineRule="auto"/>
              <w:contextualSpacing/>
              <w:rPr>
                <w:rFonts w:eastAsia="Arial" w:cs="Arial"/>
              </w:rPr>
            </w:pPr>
            <w:r w:rsidRPr="7DCEF4FC">
              <w:rPr>
                <w:rFonts w:cs="Arial"/>
              </w:rPr>
              <w:t>$100,000</w:t>
            </w:r>
          </w:p>
        </w:tc>
      </w:tr>
      <w:tr w:rsidR="00CA7F75" w:rsidRPr="00FC154F" w14:paraId="408E3575" w14:textId="77777777" w:rsidTr="7DCEF4FC">
        <w:trPr>
          <w:trHeight w:val="481"/>
        </w:trPr>
        <w:tc>
          <w:tcPr>
            <w:tcW w:w="2689" w:type="dxa"/>
            <w:vAlign w:val="center"/>
          </w:tcPr>
          <w:p w14:paraId="4E98EB38" w14:textId="77777777" w:rsidR="00CA7F75" w:rsidRPr="008E2508" w:rsidRDefault="7DCEF4FC" w:rsidP="7DCEF4FC">
            <w:pPr>
              <w:spacing w:before="0" w:after="120" w:line="276" w:lineRule="auto"/>
              <w:rPr>
                <w:rFonts w:cs="Arial"/>
              </w:rPr>
            </w:pPr>
            <w:r w:rsidRPr="7DCEF4FC">
              <w:rPr>
                <w:rFonts w:cs="Arial"/>
              </w:rPr>
              <w:t>Victoria</w:t>
            </w:r>
          </w:p>
        </w:tc>
        <w:tc>
          <w:tcPr>
            <w:tcW w:w="5953" w:type="dxa"/>
            <w:vAlign w:val="center"/>
          </w:tcPr>
          <w:p w14:paraId="5B848FB2" w14:textId="77777777" w:rsidR="00CA7F75" w:rsidRPr="008E2508" w:rsidRDefault="7DCEF4FC" w:rsidP="7DCEF4FC">
            <w:pPr>
              <w:spacing w:before="0" w:after="120" w:line="276" w:lineRule="auto"/>
              <w:contextualSpacing/>
              <w:rPr>
                <w:rFonts w:eastAsia="Arial" w:cs="Arial"/>
              </w:rPr>
            </w:pPr>
            <w:r w:rsidRPr="7DCEF4FC">
              <w:rPr>
                <w:rFonts w:eastAsia="Arial" w:cs="Arial"/>
              </w:rPr>
              <w:t>$150,000 (Goods and services);</w:t>
            </w:r>
          </w:p>
          <w:p w14:paraId="07897D07" w14:textId="77777777" w:rsidR="00CA7F75" w:rsidRPr="008E2508" w:rsidRDefault="7DCEF4FC" w:rsidP="7DCEF4FC">
            <w:pPr>
              <w:spacing w:before="0" w:after="120" w:line="276" w:lineRule="auto"/>
              <w:contextualSpacing/>
              <w:rPr>
                <w:rFonts w:eastAsia="Arial" w:cs="Arial"/>
              </w:rPr>
            </w:pPr>
            <w:r w:rsidRPr="7DCEF4FC">
              <w:rPr>
                <w:rFonts w:eastAsia="Arial" w:cs="Arial"/>
              </w:rPr>
              <w:t>$200,000 (Capital works</w:t>
            </w:r>
            <w:r w:rsidRPr="7DCEF4FC">
              <w:rPr>
                <w:rFonts w:eastAsiaTheme="minorEastAsia" w:cs="Arial"/>
              </w:rPr>
              <w:t>)</w:t>
            </w:r>
          </w:p>
        </w:tc>
      </w:tr>
      <w:tr w:rsidR="00CA7F75" w:rsidRPr="00FC154F" w14:paraId="579AF25B" w14:textId="77777777" w:rsidTr="7DCEF4FC">
        <w:trPr>
          <w:trHeight w:val="481"/>
        </w:trPr>
        <w:tc>
          <w:tcPr>
            <w:tcW w:w="2689" w:type="dxa"/>
            <w:vAlign w:val="center"/>
          </w:tcPr>
          <w:p w14:paraId="2AA5A106" w14:textId="77777777" w:rsidR="00CA7F75" w:rsidRPr="008E2508" w:rsidRDefault="7DCEF4FC" w:rsidP="7DCEF4FC">
            <w:pPr>
              <w:spacing w:before="0" w:after="120" w:line="276" w:lineRule="auto"/>
              <w:rPr>
                <w:rFonts w:cs="Arial"/>
              </w:rPr>
            </w:pPr>
            <w:r w:rsidRPr="7DCEF4FC">
              <w:rPr>
                <w:rFonts w:cs="Arial"/>
              </w:rPr>
              <w:t>Queensland</w:t>
            </w:r>
          </w:p>
        </w:tc>
        <w:tc>
          <w:tcPr>
            <w:tcW w:w="5953" w:type="dxa"/>
            <w:vAlign w:val="center"/>
          </w:tcPr>
          <w:p w14:paraId="2F1F1CA7" w14:textId="77777777" w:rsidR="00CA7F75" w:rsidRPr="008E2508" w:rsidRDefault="7DCEF4FC" w:rsidP="7DCEF4FC">
            <w:pPr>
              <w:spacing w:before="0" w:after="120" w:line="276" w:lineRule="auto"/>
              <w:contextualSpacing/>
              <w:rPr>
                <w:rFonts w:eastAsia="Arial" w:cs="Arial"/>
              </w:rPr>
            </w:pPr>
            <w:r w:rsidRPr="7DCEF4FC">
              <w:rPr>
                <w:rFonts w:cs="Arial"/>
              </w:rPr>
              <w:t>$200,000</w:t>
            </w:r>
          </w:p>
        </w:tc>
      </w:tr>
      <w:tr w:rsidR="00CA7F75" w:rsidRPr="00FC154F" w14:paraId="1616B360" w14:textId="77777777" w:rsidTr="7DCEF4FC">
        <w:trPr>
          <w:trHeight w:val="481"/>
        </w:trPr>
        <w:tc>
          <w:tcPr>
            <w:tcW w:w="2689" w:type="dxa"/>
            <w:vAlign w:val="center"/>
          </w:tcPr>
          <w:p w14:paraId="6E507608" w14:textId="77777777" w:rsidR="00CA7F75" w:rsidRPr="008E2508" w:rsidRDefault="7DCEF4FC" w:rsidP="7DCEF4FC">
            <w:pPr>
              <w:spacing w:before="0" w:after="120" w:line="276" w:lineRule="auto"/>
              <w:rPr>
                <w:rFonts w:cs="Arial"/>
              </w:rPr>
            </w:pPr>
            <w:r w:rsidRPr="7DCEF4FC">
              <w:rPr>
                <w:rFonts w:cs="Arial"/>
              </w:rPr>
              <w:t>South Australia</w:t>
            </w:r>
          </w:p>
        </w:tc>
        <w:tc>
          <w:tcPr>
            <w:tcW w:w="5953" w:type="dxa"/>
            <w:vAlign w:val="center"/>
          </w:tcPr>
          <w:p w14:paraId="1FCCFD1B" w14:textId="77777777" w:rsidR="00CA7F75" w:rsidRPr="008E2508" w:rsidRDefault="7DCEF4FC" w:rsidP="7DCEF4FC">
            <w:pPr>
              <w:spacing w:before="0" w:after="120" w:line="276" w:lineRule="auto"/>
              <w:contextualSpacing/>
              <w:rPr>
                <w:rFonts w:eastAsia="Arial" w:cs="Arial"/>
              </w:rPr>
            </w:pPr>
            <w:r w:rsidRPr="7DCEF4FC">
              <w:rPr>
                <w:rFonts w:cs="Arial"/>
              </w:rPr>
              <w:t>At discretion of council (none prescribed)</w:t>
            </w:r>
          </w:p>
        </w:tc>
      </w:tr>
      <w:tr w:rsidR="00CA7F75" w:rsidRPr="00FC154F" w14:paraId="0060EB1D" w14:textId="77777777" w:rsidTr="7DCEF4FC">
        <w:trPr>
          <w:trHeight w:val="481"/>
        </w:trPr>
        <w:tc>
          <w:tcPr>
            <w:tcW w:w="2689" w:type="dxa"/>
            <w:vAlign w:val="center"/>
          </w:tcPr>
          <w:p w14:paraId="7FEC370C" w14:textId="77777777" w:rsidR="00CA7F75" w:rsidRPr="008E2508" w:rsidRDefault="7DCEF4FC" w:rsidP="7DCEF4FC">
            <w:pPr>
              <w:spacing w:before="0" w:after="120" w:line="276" w:lineRule="auto"/>
              <w:rPr>
                <w:rFonts w:cs="Arial"/>
              </w:rPr>
            </w:pPr>
            <w:r w:rsidRPr="7DCEF4FC">
              <w:rPr>
                <w:rFonts w:cs="Arial"/>
              </w:rPr>
              <w:t>Tasmania</w:t>
            </w:r>
          </w:p>
        </w:tc>
        <w:tc>
          <w:tcPr>
            <w:tcW w:w="5953" w:type="dxa"/>
            <w:vAlign w:val="center"/>
          </w:tcPr>
          <w:p w14:paraId="2408CB03" w14:textId="77777777" w:rsidR="00CA7F75" w:rsidRPr="008E2508" w:rsidRDefault="7DCEF4FC" w:rsidP="7DCEF4FC">
            <w:pPr>
              <w:spacing w:before="0" w:after="120" w:line="276" w:lineRule="auto"/>
              <w:contextualSpacing/>
              <w:rPr>
                <w:rFonts w:eastAsia="Arial" w:cs="Arial"/>
              </w:rPr>
            </w:pPr>
            <w:r w:rsidRPr="7DCEF4FC">
              <w:rPr>
                <w:rFonts w:cs="Arial"/>
              </w:rPr>
              <w:t>$250,000</w:t>
            </w:r>
          </w:p>
        </w:tc>
      </w:tr>
      <w:tr w:rsidR="00CA7F75" w:rsidRPr="00FC154F" w14:paraId="01FD3CD4" w14:textId="77777777" w:rsidTr="7DCEF4FC">
        <w:trPr>
          <w:trHeight w:val="481"/>
        </w:trPr>
        <w:tc>
          <w:tcPr>
            <w:tcW w:w="2689" w:type="dxa"/>
            <w:vAlign w:val="center"/>
          </w:tcPr>
          <w:p w14:paraId="212873C8" w14:textId="77777777" w:rsidR="00CA7F75" w:rsidRPr="008E2508" w:rsidRDefault="7DCEF4FC" w:rsidP="7DCEF4FC">
            <w:pPr>
              <w:spacing w:before="0" w:after="120" w:line="276" w:lineRule="auto"/>
              <w:rPr>
                <w:rFonts w:cs="Arial"/>
              </w:rPr>
            </w:pPr>
            <w:r w:rsidRPr="7DCEF4FC">
              <w:rPr>
                <w:rFonts w:cs="Arial"/>
              </w:rPr>
              <w:t>Northern Territory</w:t>
            </w:r>
          </w:p>
        </w:tc>
        <w:tc>
          <w:tcPr>
            <w:tcW w:w="5953" w:type="dxa"/>
            <w:vAlign w:val="center"/>
          </w:tcPr>
          <w:p w14:paraId="27EE74A2" w14:textId="77777777" w:rsidR="00CA7F75" w:rsidRPr="008E2508" w:rsidRDefault="7DCEF4FC" w:rsidP="7DCEF4FC">
            <w:pPr>
              <w:spacing w:before="0" w:after="120" w:line="276" w:lineRule="auto"/>
              <w:contextualSpacing/>
              <w:rPr>
                <w:rFonts w:eastAsia="Arial" w:cs="Arial"/>
              </w:rPr>
            </w:pPr>
            <w:r w:rsidRPr="7DCEF4FC">
              <w:rPr>
                <w:rFonts w:cs="Arial"/>
              </w:rPr>
              <w:t>$100,000</w:t>
            </w:r>
          </w:p>
        </w:tc>
      </w:tr>
    </w:tbl>
    <w:p w14:paraId="2A2F2AB3" w14:textId="77777777" w:rsidR="00996EE2" w:rsidRDefault="00996EE2" w:rsidP="00996EE2">
      <w:pPr>
        <w:jc w:val="both"/>
      </w:pPr>
    </w:p>
    <w:p w14:paraId="79803D12" w14:textId="5EE157E5" w:rsidR="00996EE2" w:rsidRPr="008A223C" w:rsidRDefault="7DCEF4FC" w:rsidP="7DCEF4FC">
      <w:pPr>
        <w:spacing w:after="120" w:line="276" w:lineRule="auto"/>
        <w:jc w:val="both"/>
        <w:rPr>
          <w:rFonts w:ascii="Arial" w:hAnsi="Arial" w:cs="Arial"/>
          <w:sz w:val="24"/>
          <w:szCs w:val="24"/>
        </w:rPr>
      </w:pPr>
      <w:r w:rsidRPr="7DCEF4FC">
        <w:rPr>
          <w:rFonts w:ascii="Arial" w:hAnsi="Arial" w:cs="Arial"/>
          <w:sz w:val="24"/>
          <w:szCs w:val="24"/>
        </w:rPr>
        <w:t xml:space="preserve">It is widely acknowledged, including by the Commissioner of the Corruption and Crime Commission, that procurement is an area most vulnerable to corruption. It is important that any reforms consider the risks in terms of corruption.  </w:t>
      </w:r>
    </w:p>
    <w:p w14:paraId="47B3C8B6" w14:textId="49C49601" w:rsidR="00996EE2" w:rsidRPr="008A223C" w:rsidRDefault="7DCEF4FC" w:rsidP="7DCEF4FC">
      <w:pPr>
        <w:spacing w:after="120" w:line="276" w:lineRule="auto"/>
        <w:jc w:val="both"/>
        <w:rPr>
          <w:rFonts w:ascii="Arial" w:hAnsi="Arial" w:cs="Arial"/>
          <w:sz w:val="24"/>
          <w:szCs w:val="24"/>
        </w:rPr>
      </w:pPr>
      <w:r w:rsidRPr="7DCEF4FC">
        <w:rPr>
          <w:rFonts w:ascii="Arial" w:hAnsi="Arial" w:cs="Arial"/>
          <w:sz w:val="24"/>
          <w:szCs w:val="24"/>
        </w:rPr>
        <w:t>Under Regulation 11(2)(b), a local government is exempt from being required to invite tenders if it obtains goods and services through the Western Australia Local Government Association’s (WALGA) Preferred Suppliers Program (PSP). WALGA’s PSP is designed to enable member local governments to obtain advantages from a bulk purchasing arrangement for the benefit of local government in Western Australia.</w:t>
      </w:r>
    </w:p>
    <w:p w14:paraId="5B93BA54" w14:textId="77777777" w:rsidR="00CA7F75" w:rsidRPr="008A223C" w:rsidRDefault="7DCEF4FC" w:rsidP="7DCEF4FC">
      <w:pPr>
        <w:pStyle w:val="Heading2"/>
        <w:spacing w:before="0" w:after="120" w:line="276" w:lineRule="auto"/>
        <w:rPr>
          <w:rFonts w:ascii="Arial" w:hAnsi="Arial" w:cs="Arial"/>
          <w:color w:val="595959" w:themeColor="text1" w:themeTint="A6"/>
          <w:sz w:val="28"/>
          <w:szCs w:val="28"/>
        </w:rPr>
      </w:pPr>
      <w:bookmarkStart w:id="13" w:name="_Toc520440297"/>
      <w:r w:rsidRPr="7DCEF4FC">
        <w:rPr>
          <w:rFonts w:ascii="Arial" w:hAnsi="Arial" w:cs="Arial"/>
          <w:color w:val="595959" w:themeColor="text1" w:themeTint="A6"/>
          <w:sz w:val="28"/>
          <w:szCs w:val="28"/>
        </w:rPr>
        <w:lastRenderedPageBreak/>
        <w:t>What are the opportunities for reform?</w:t>
      </w:r>
      <w:bookmarkEnd w:id="13"/>
    </w:p>
    <w:p w14:paraId="4D600CD8" w14:textId="77777777" w:rsidR="00CA7F75" w:rsidRPr="008A223C" w:rsidRDefault="7DCEF4FC" w:rsidP="7DCEF4FC">
      <w:pPr>
        <w:spacing w:after="120" w:line="276" w:lineRule="auto"/>
        <w:rPr>
          <w:rFonts w:ascii="Arial" w:hAnsi="Arial" w:cs="Arial"/>
          <w:b/>
          <w:bCs/>
          <w:color w:val="C00000"/>
          <w:sz w:val="24"/>
          <w:szCs w:val="24"/>
        </w:rPr>
      </w:pPr>
      <w:r w:rsidRPr="7DCEF4FC">
        <w:rPr>
          <w:rFonts w:ascii="Arial" w:hAnsi="Arial" w:cs="Arial"/>
          <w:b/>
          <w:bCs/>
          <w:color w:val="C00000"/>
          <w:sz w:val="24"/>
          <w:szCs w:val="24"/>
        </w:rPr>
        <w:t xml:space="preserve">Align local government procurement rules with the State Government  </w:t>
      </w:r>
    </w:p>
    <w:p w14:paraId="78D99C9F" w14:textId="3BDFF1A9" w:rsidR="00CA7F75" w:rsidRPr="008A223C" w:rsidRDefault="7DCEF4FC" w:rsidP="7DCEF4FC">
      <w:pPr>
        <w:spacing w:after="120" w:line="276" w:lineRule="auto"/>
        <w:jc w:val="both"/>
        <w:rPr>
          <w:rFonts w:ascii="Arial" w:hAnsi="Arial" w:cs="Arial"/>
          <w:sz w:val="24"/>
          <w:szCs w:val="24"/>
        </w:rPr>
      </w:pPr>
      <w:r w:rsidRPr="7DCEF4FC">
        <w:rPr>
          <w:rFonts w:ascii="Arial" w:hAnsi="Arial" w:cs="Arial"/>
          <w:sz w:val="24"/>
          <w:szCs w:val="24"/>
        </w:rPr>
        <w:t>State Government procurement rules are set by the State Supply Commission (SSC) under its own legislation. Under the legislation, the SSC has the power to publish procurement policies that agencies must adhere to. Currently, there are six procurement policies covering matters such as value for money, open and effective competition, procurement planning and contract management. These policies also establish tender thresholds for State Government agencies.</w:t>
      </w:r>
    </w:p>
    <w:p w14:paraId="4F5A7E04" w14:textId="77777777" w:rsidR="00CA7F75" w:rsidRPr="00FC154F" w:rsidRDefault="7DCEF4FC" w:rsidP="7DCEF4FC">
      <w:pPr>
        <w:pStyle w:val="Heading3"/>
        <w:spacing w:before="0" w:after="120" w:line="276" w:lineRule="auto"/>
        <w:rPr>
          <w:rFonts w:ascii="Arial" w:hAnsi="Arial" w:cs="Arial"/>
          <w:color w:val="595959" w:themeColor="text1" w:themeTint="A6"/>
        </w:rPr>
      </w:pPr>
      <w:r w:rsidRPr="7DCEF4FC">
        <w:rPr>
          <w:rFonts w:ascii="Arial" w:hAnsi="Arial" w:cs="Arial"/>
          <w:color w:val="595959" w:themeColor="text1" w:themeTint="A6"/>
        </w:rPr>
        <w:t>Tender thresholds for most State Government agencies</w:t>
      </w:r>
    </w:p>
    <w:tbl>
      <w:tblPr>
        <w:tblStyle w:val="DLGCTable-Form2"/>
        <w:tblW w:w="8931" w:type="dxa"/>
        <w:tblLayout w:type="fixed"/>
        <w:tblLook w:val="04A0" w:firstRow="1" w:lastRow="0" w:firstColumn="1" w:lastColumn="0" w:noHBand="0" w:noVBand="1"/>
      </w:tblPr>
      <w:tblGrid>
        <w:gridCol w:w="2122"/>
        <w:gridCol w:w="6809"/>
      </w:tblGrid>
      <w:tr w:rsidR="00C900CA" w:rsidRPr="00C900CA" w14:paraId="3C05F80B" w14:textId="77777777" w:rsidTr="7DCEF4FC">
        <w:trPr>
          <w:cnfStyle w:val="100000000000" w:firstRow="1" w:lastRow="0" w:firstColumn="0" w:lastColumn="0" w:oddVBand="0" w:evenVBand="0" w:oddHBand="0" w:evenHBand="0" w:firstRowFirstColumn="0" w:firstRowLastColumn="0" w:lastRowFirstColumn="0" w:lastRowLastColumn="0"/>
          <w:trHeight w:val="796"/>
        </w:trPr>
        <w:tc>
          <w:tcPr>
            <w:tcW w:w="2122" w:type="dxa"/>
            <w:shd w:val="clear" w:color="auto" w:fill="C0311A"/>
          </w:tcPr>
          <w:p w14:paraId="5DA13BD7" w14:textId="77777777" w:rsidR="00CA7F75" w:rsidRPr="008E2508" w:rsidRDefault="7DCEF4FC" w:rsidP="7DCEF4FC">
            <w:pPr>
              <w:spacing w:before="0" w:after="120" w:line="276" w:lineRule="auto"/>
              <w:ind w:left="0" w:right="0"/>
              <w:rPr>
                <w:rFonts w:cs="Arial"/>
                <w:color w:val="FFFFFF" w:themeColor="background1"/>
              </w:rPr>
            </w:pPr>
            <w:r w:rsidRPr="7DCEF4FC">
              <w:rPr>
                <w:rFonts w:cs="Arial"/>
                <w:color w:val="FFFFFF" w:themeColor="background1"/>
              </w:rPr>
              <w:t>Purchases</w:t>
            </w:r>
          </w:p>
        </w:tc>
        <w:tc>
          <w:tcPr>
            <w:tcW w:w="6809" w:type="dxa"/>
            <w:shd w:val="clear" w:color="auto" w:fill="C0311A"/>
          </w:tcPr>
          <w:p w14:paraId="0D817F86" w14:textId="77777777" w:rsidR="00CA7F75" w:rsidRPr="008E2508" w:rsidRDefault="7DCEF4FC" w:rsidP="7DCEF4FC">
            <w:pPr>
              <w:spacing w:before="0" w:after="120" w:line="276" w:lineRule="auto"/>
              <w:ind w:left="0" w:right="0"/>
              <w:rPr>
                <w:rFonts w:cs="Arial"/>
                <w:color w:val="FFFFFF" w:themeColor="background1"/>
              </w:rPr>
            </w:pPr>
            <w:r w:rsidRPr="7DCEF4FC">
              <w:rPr>
                <w:rFonts w:cs="Arial"/>
                <w:color w:val="FFFFFF" w:themeColor="background1"/>
              </w:rPr>
              <w:t>Methods permitted</w:t>
            </w:r>
          </w:p>
        </w:tc>
      </w:tr>
      <w:tr w:rsidR="00CA7F75" w:rsidRPr="00FC154F" w14:paraId="696CFCF1" w14:textId="77777777" w:rsidTr="7DCEF4FC">
        <w:trPr>
          <w:trHeight w:val="481"/>
        </w:trPr>
        <w:tc>
          <w:tcPr>
            <w:tcW w:w="2122" w:type="dxa"/>
          </w:tcPr>
          <w:p w14:paraId="4C0998F5" w14:textId="77777777" w:rsidR="00CA7F75" w:rsidRPr="008E2508" w:rsidRDefault="7DCEF4FC" w:rsidP="7DCEF4FC">
            <w:pPr>
              <w:spacing w:before="0" w:after="120" w:line="276" w:lineRule="auto"/>
              <w:ind w:left="0" w:right="0"/>
              <w:rPr>
                <w:rFonts w:cs="Arial"/>
              </w:rPr>
            </w:pPr>
            <w:r w:rsidRPr="7DCEF4FC">
              <w:rPr>
                <w:rFonts w:cs="Arial"/>
              </w:rPr>
              <w:t>Up to $50,000</w:t>
            </w:r>
          </w:p>
        </w:tc>
        <w:tc>
          <w:tcPr>
            <w:tcW w:w="6809" w:type="dxa"/>
          </w:tcPr>
          <w:p w14:paraId="273DDC7A" w14:textId="77777777" w:rsidR="00CA7F75" w:rsidRPr="008E2508" w:rsidRDefault="7DCEF4FC" w:rsidP="7DCEF4FC">
            <w:pPr>
              <w:spacing w:before="0" w:after="120" w:line="276" w:lineRule="auto"/>
              <w:ind w:left="0"/>
              <w:rPr>
                <w:rFonts w:cs="Arial"/>
              </w:rPr>
            </w:pPr>
            <w:r w:rsidRPr="7DCEF4FC">
              <w:rPr>
                <w:rFonts w:cs="Arial"/>
              </w:rPr>
              <w:t>Direct sourcing</w:t>
            </w:r>
          </w:p>
          <w:p w14:paraId="0B3FF643" w14:textId="77777777" w:rsidR="00CA7F75" w:rsidRPr="008E2508" w:rsidRDefault="7DCEF4FC" w:rsidP="7DCEF4FC">
            <w:pPr>
              <w:spacing w:before="0" w:after="120" w:line="276" w:lineRule="auto"/>
              <w:ind w:left="0"/>
              <w:rPr>
                <w:rFonts w:cs="Arial"/>
              </w:rPr>
            </w:pPr>
            <w:r w:rsidRPr="7DCEF4FC">
              <w:rPr>
                <w:rFonts w:cs="Arial"/>
              </w:rPr>
              <w:t>Verbal quotations</w:t>
            </w:r>
          </w:p>
          <w:p w14:paraId="2FD715D3" w14:textId="77777777" w:rsidR="00CA7F75" w:rsidRPr="008E2508" w:rsidRDefault="7DCEF4FC" w:rsidP="7DCEF4FC">
            <w:pPr>
              <w:spacing w:before="0" w:after="120" w:line="276" w:lineRule="auto"/>
              <w:ind w:left="0" w:right="0"/>
              <w:rPr>
                <w:rFonts w:cs="Arial"/>
              </w:rPr>
            </w:pPr>
            <w:r w:rsidRPr="7DCEF4FC">
              <w:rPr>
                <w:rFonts w:cs="Arial"/>
              </w:rPr>
              <w:t>Written quotations</w:t>
            </w:r>
          </w:p>
        </w:tc>
      </w:tr>
      <w:tr w:rsidR="00CA7F75" w:rsidRPr="00FC154F" w14:paraId="237FCDCF" w14:textId="77777777" w:rsidTr="7DCEF4FC">
        <w:trPr>
          <w:trHeight w:val="481"/>
        </w:trPr>
        <w:tc>
          <w:tcPr>
            <w:tcW w:w="2122" w:type="dxa"/>
          </w:tcPr>
          <w:p w14:paraId="153099B9" w14:textId="77777777" w:rsidR="00CA7F75" w:rsidRPr="008E2508" w:rsidRDefault="7DCEF4FC" w:rsidP="7DCEF4FC">
            <w:pPr>
              <w:spacing w:before="0" w:after="120" w:line="276" w:lineRule="auto"/>
              <w:ind w:left="0" w:right="0"/>
              <w:rPr>
                <w:rFonts w:cs="Arial"/>
              </w:rPr>
            </w:pPr>
            <w:r w:rsidRPr="7DCEF4FC">
              <w:rPr>
                <w:rFonts w:cs="Arial"/>
              </w:rPr>
              <w:t>Between $50,000 up to $250,000</w:t>
            </w:r>
          </w:p>
        </w:tc>
        <w:tc>
          <w:tcPr>
            <w:tcW w:w="6809" w:type="dxa"/>
          </w:tcPr>
          <w:p w14:paraId="0485FE77" w14:textId="77777777" w:rsidR="00CA7F75" w:rsidRPr="008E2508" w:rsidRDefault="7DCEF4FC" w:rsidP="7DCEF4FC">
            <w:pPr>
              <w:spacing w:before="0" w:after="120" w:line="276" w:lineRule="auto"/>
              <w:ind w:left="0" w:right="0"/>
              <w:rPr>
                <w:rFonts w:cs="Arial"/>
              </w:rPr>
            </w:pPr>
            <w:r w:rsidRPr="7DCEF4FC">
              <w:rPr>
                <w:rFonts w:cs="Arial"/>
              </w:rPr>
              <w:t>Written quotations (goods or services not on the Common Use Arrangement)</w:t>
            </w:r>
          </w:p>
        </w:tc>
      </w:tr>
      <w:tr w:rsidR="00CA7F75" w:rsidRPr="00FC154F" w14:paraId="14C4EAC8" w14:textId="77777777" w:rsidTr="7DCEF4FC">
        <w:trPr>
          <w:trHeight w:val="481"/>
        </w:trPr>
        <w:tc>
          <w:tcPr>
            <w:tcW w:w="2122" w:type="dxa"/>
          </w:tcPr>
          <w:p w14:paraId="790748F9" w14:textId="77777777" w:rsidR="00CA7F75" w:rsidRPr="008E2508" w:rsidRDefault="7DCEF4FC" w:rsidP="7DCEF4FC">
            <w:pPr>
              <w:spacing w:before="0" w:after="120" w:line="276" w:lineRule="auto"/>
              <w:ind w:left="0" w:right="0"/>
              <w:rPr>
                <w:rFonts w:cs="Arial"/>
              </w:rPr>
            </w:pPr>
            <w:r w:rsidRPr="7DCEF4FC">
              <w:rPr>
                <w:rFonts w:cs="Arial"/>
              </w:rPr>
              <w:t>Over $250,000</w:t>
            </w:r>
          </w:p>
        </w:tc>
        <w:tc>
          <w:tcPr>
            <w:tcW w:w="6809" w:type="dxa"/>
          </w:tcPr>
          <w:p w14:paraId="2787834D" w14:textId="77777777" w:rsidR="00CA7F75" w:rsidRPr="008E2508" w:rsidRDefault="7DCEF4FC" w:rsidP="7DCEF4FC">
            <w:pPr>
              <w:spacing w:before="0" w:after="120" w:line="276" w:lineRule="auto"/>
              <w:ind w:left="0" w:right="0"/>
              <w:rPr>
                <w:rFonts w:cs="Arial"/>
              </w:rPr>
            </w:pPr>
            <w:r w:rsidRPr="7DCEF4FC">
              <w:rPr>
                <w:rFonts w:cs="Arial"/>
              </w:rPr>
              <w:t>Open tender</w:t>
            </w:r>
          </w:p>
        </w:tc>
      </w:tr>
    </w:tbl>
    <w:p w14:paraId="616FAAE9" w14:textId="77777777" w:rsidR="00CA7F75" w:rsidRPr="00FC154F" w:rsidRDefault="00CA7F75" w:rsidP="00CA7F75">
      <w:pPr>
        <w:spacing w:after="120" w:line="276" w:lineRule="auto"/>
        <w:rPr>
          <w:rFonts w:ascii="Arial" w:hAnsi="Arial" w:cs="Arial"/>
        </w:rPr>
      </w:pPr>
    </w:p>
    <w:p w14:paraId="13FC8596" w14:textId="4D76D68C" w:rsidR="00CA7F75" w:rsidRPr="008A223C" w:rsidRDefault="7DCEF4FC" w:rsidP="7DCEF4FC">
      <w:pPr>
        <w:spacing w:after="120" w:line="276" w:lineRule="auto"/>
        <w:jc w:val="both"/>
        <w:rPr>
          <w:rFonts w:ascii="Arial" w:hAnsi="Arial" w:cs="Arial"/>
          <w:sz w:val="24"/>
          <w:szCs w:val="24"/>
        </w:rPr>
      </w:pPr>
      <w:r w:rsidRPr="7DCEF4FC">
        <w:rPr>
          <w:rFonts w:ascii="Arial" w:hAnsi="Arial" w:cs="Arial"/>
          <w:sz w:val="24"/>
          <w:szCs w:val="24"/>
        </w:rPr>
        <w:t>Another key difference between State and local government purchasing rules is the Common Use Arrangement (CUA). The CUA requires State Government agencies to use specific suppliers for specified items. Most CUAs are mandatory for State Government agencies in the metropolitan area. There are currently no rules requiring local governments to use the CUA and the CUA operates separately to the WALGA preferred supplier scheme. Local governments can use the CUA if they wish, thereby benefiting from the buying power of the State Government.</w:t>
      </w:r>
    </w:p>
    <w:p w14:paraId="019F2046" w14:textId="6645ACF3" w:rsidR="00A44C31" w:rsidRPr="008A223C" w:rsidRDefault="7DCEF4FC" w:rsidP="7DCEF4FC">
      <w:pPr>
        <w:spacing w:after="120" w:line="276" w:lineRule="auto"/>
        <w:jc w:val="both"/>
        <w:rPr>
          <w:rFonts w:ascii="Arial" w:hAnsi="Arial" w:cs="Arial"/>
          <w:sz w:val="24"/>
          <w:szCs w:val="24"/>
        </w:rPr>
      </w:pPr>
      <w:r w:rsidRPr="7DCEF4FC">
        <w:rPr>
          <w:rFonts w:ascii="Arial" w:hAnsi="Arial" w:cs="Arial"/>
          <w:sz w:val="24"/>
          <w:szCs w:val="24"/>
        </w:rPr>
        <w:t>The differences between the CUA and WALGA’s PSP includes:</w:t>
      </w:r>
    </w:p>
    <w:p w14:paraId="50A5D3C1" w14:textId="0AEED031" w:rsidR="00A44C31" w:rsidRPr="008A223C" w:rsidRDefault="7DCEF4FC" w:rsidP="7DCEF4FC">
      <w:pPr>
        <w:numPr>
          <w:ilvl w:val="0"/>
          <w:numId w:val="37"/>
        </w:numPr>
        <w:spacing w:after="120" w:line="276" w:lineRule="auto"/>
        <w:contextualSpacing/>
        <w:jc w:val="both"/>
        <w:rPr>
          <w:rFonts w:ascii="Arial" w:hAnsi="Arial" w:cs="Arial"/>
          <w:sz w:val="24"/>
          <w:szCs w:val="24"/>
        </w:rPr>
      </w:pPr>
      <w:r w:rsidRPr="7DCEF4FC">
        <w:rPr>
          <w:rFonts w:ascii="Arial" w:hAnsi="Arial" w:cs="Arial"/>
          <w:sz w:val="24"/>
          <w:szCs w:val="24"/>
        </w:rPr>
        <w:t>PSP tends to be more inclusive of suppliers rather than exclusive as in the CUA;</w:t>
      </w:r>
    </w:p>
    <w:p w14:paraId="04B9610B" w14:textId="6BA35DDF" w:rsidR="00A44C31" w:rsidRPr="008A223C" w:rsidRDefault="7DCEF4FC" w:rsidP="7DCEF4FC">
      <w:pPr>
        <w:numPr>
          <w:ilvl w:val="0"/>
          <w:numId w:val="37"/>
        </w:numPr>
        <w:spacing w:after="120" w:line="276" w:lineRule="auto"/>
        <w:contextualSpacing/>
        <w:jc w:val="both"/>
        <w:rPr>
          <w:rFonts w:ascii="Arial" w:hAnsi="Arial" w:cs="Arial"/>
          <w:sz w:val="24"/>
          <w:szCs w:val="24"/>
        </w:rPr>
      </w:pPr>
      <w:r w:rsidRPr="7DCEF4FC">
        <w:rPr>
          <w:rFonts w:ascii="Arial" w:hAnsi="Arial" w:cs="Arial"/>
          <w:sz w:val="24"/>
          <w:szCs w:val="24"/>
        </w:rPr>
        <w:t>Some PSP’s have been established as a national agreement to access the buying power of the local government sector nationally;</w:t>
      </w:r>
    </w:p>
    <w:p w14:paraId="56CC9E57" w14:textId="237631D6" w:rsidR="00A44C31" w:rsidRPr="008A223C" w:rsidRDefault="7DCEF4FC" w:rsidP="7DCEF4FC">
      <w:pPr>
        <w:numPr>
          <w:ilvl w:val="0"/>
          <w:numId w:val="37"/>
        </w:numPr>
        <w:spacing w:after="120" w:line="276" w:lineRule="auto"/>
        <w:contextualSpacing/>
        <w:jc w:val="both"/>
        <w:rPr>
          <w:rFonts w:ascii="Arial" w:hAnsi="Arial" w:cs="Arial"/>
          <w:sz w:val="24"/>
          <w:szCs w:val="24"/>
        </w:rPr>
      </w:pPr>
      <w:r w:rsidRPr="7DCEF4FC">
        <w:rPr>
          <w:rFonts w:ascii="Arial" w:hAnsi="Arial" w:cs="Arial"/>
          <w:sz w:val="24"/>
          <w:szCs w:val="24"/>
        </w:rPr>
        <w:t>Many CUAs are mandatory for State agencies, while it is not mandatory for local governments to use the PSP; and</w:t>
      </w:r>
    </w:p>
    <w:p w14:paraId="02E3440E" w14:textId="735FEEA4" w:rsidR="00A44C31" w:rsidRPr="008A223C" w:rsidRDefault="7DCEF4FC" w:rsidP="7DCEF4FC">
      <w:pPr>
        <w:numPr>
          <w:ilvl w:val="0"/>
          <w:numId w:val="37"/>
        </w:numPr>
        <w:spacing w:after="120" w:line="276" w:lineRule="auto"/>
        <w:contextualSpacing/>
        <w:jc w:val="both"/>
        <w:rPr>
          <w:rFonts w:ascii="Arial" w:hAnsi="Arial" w:cs="Arial"/>
          <w:sz w:val="24"/>
          <w:szCs w:val="24"/>
        </w:rPr>
      </w:pPr>
      <w:r w:rsidRPr="7DCEF4FC">
        <w:rPr>
          <w:rFonts w:ascii="Arial" w:hAnsi="Arial" w:cs="Arial"/>
          <w:sz w:val="24"/>
          <w:szCs w:val="24"/>
        </w:rPr>
        <w:t>PSP’s have a commission or levy as part of the agreed arrangement between WALGA and the supplier.</w:t>
      </w:r>
    </w:p>
    <w:p w14:paraId="326E8370" w14:textId="77777777" w:rsidR="00A44C31" w:rsidRPr="008A223C" w:rsidRDefault="00A44C31" w:rsidP="008A223C">
      <w:pPr>
        <w:spacing w:after="0" w:line="276" w:lineRule="auto"/>
        <w:jc w:val="both"/>
        <w:rPr>
          <w:rFonts w:ascii="Arial" w:hAnsi="Arial" w:cs="Arial"/>
          <w:sz w:val="24"/>
        </w:rPr>
      </w:pPr>
    </w:p>
    <w:p w14:paraId="599D9645" w14:textId="699FCC53" w:rsidR="00CA7F75" w:rsidRPr="008A223C" w:rsidRDefault="7DCEF4FC" w:rsidP="7DCEF4FC">
      <w:pPr>
        <w:spacing w:after="120" w:line="276" w:lineRule="auto"/>
        <w:jc w:val="both"/>
        <w:rPr>
          <w:rFonts w:ascii="Arial" w:hAnsi="Arial" w:cs="Arial"/>
          <w:sz w:val="24"/>
          <w:szCs w:val="24"/>
        </w:rPr>
      </w:pPr>
      <w:r w:rsidRPr="7DCEF4FC">
        <w:rPr>
          <w:rFonts w:ascii="Arial" w:hAnsi="Arial" w:cs="Arial"/>
          <w:sz w:val="24"/>
          <w:szCs w:val="24"/>
        </w:rPr>
        <w:t xml:space="preserve">Overall, while the monetary threshold before public advertising used by the State Government is greater than local government, the SSC’s regime of procurement policies means that in general, local governments enjoy greater autonomy and fewer procurement oversights than their State Government counterparts. </w:t>
      </w:r>
    </w:p>
    <w:p w14:paraId="0D9AB98C" w14:textId="77777777" w:rsidR="00CA7F75" w:rsidRPr="008A223C" w:rsidRDefault="7DCEF4FC" w:rsidP="7DCEF4FC">
      <w:pPr>
        <w:keepNext/>
        <w:keepLines/>
        <w:spacing w:after="120" w:line="276" w:lineRule="auto"/>
        <w:jc w:val="both"/>
        <w:rPr>
          <w:rFonts w:ascii="Arial" w:hAnsi="Arial" w:cs="Arial"/>
          <w:b/>
          <w:bCs/>
          <w:color w:val="C00000"/>
          <w:sz w:val="24"/>
          <w:szCs w:val="24"/>
        </w:rPr>
      </w:pPr>
      <w:r w:rsidRPr="7DCEF4FC">
        <w:rPr>
          <w:rFonts w:ascii="Arial" w:hAnsi="Arial" w:cs="Arial"/>
          <w:b/>
          <w:bCs/>
          <w:color w:val="C00000"/>
          <w:sz w:val="24"/>
          <w:szCs w:val="24"/>
        </w:rPr>
        <w:lastRenderedPageBreak/>
        <w:t xml:space="preserve">Scale the tender threshold to local government size and capacity   </w:t>
      </w:r>
    </w:p>
    <w:p w14:paraId="03CCF998" w14:textId="7BBD693F" w:rsidR="00CA7F75" w:rsidRPr="008A223C" w:rsidRDefault="7DCEF4FC" w:rsidP="7DCEF4FC">
      <w:pPr>
        <w:keepNext/>
        <w:keepLines/>
        <w:spacing w:after="120" w:line="276" w:lineRule="auto"/>
        <w:jc w:val="both"/>
        <w:rPr>
          <w:rFonts w:ascii="Arial" w:hAnsi="Arial" w:cs="Arial"/>
          <w:sz w:val="24"/>
          <w:szCs w:val="24"/>
        </w:rPr>
      </w:pPr>
      <w:r w:rsidRPr="7DCEF4FC">
        <w:rPr>
          <w:rFonts w:ascii="Arial" w:hAnsi="Arial" w:cs="Arial"/>
          <w:sz w:val="24"/>
          <w:szCs w:val="24"/>
        </w:rPr>
        <w:t xml:space="preserve">Local governments vary considerably in respect to their expenditure. The combined operating budget of the State’s 40 smallest local governments is less than the annual operating expenditure of the State’s largest local government.   </w:t>
      </w:r>
    </w:p>
    <w:p w14:paraId="073C2DC1" w14:textId="77777777" w:rsidR="007D63FF" w:rsidRDefault="7DCEF4FC" w:rsidP="7DCEF4FC">
      <w:pPr>
        <w:spacing w:after="120" w:line="276" w:lineRule="auto"/>
        <w:jc w:val="both"/>
        <w:rPr>
          <w:rFonts w:ascii="Arial" w:hAnsi="Arial" w:cs="Arial"/>
          <w:sz w:val="24"/>
          <w:szCs w:val="24"/>
        </w:rPr>
      </w:pPr>
      <w:r w:rsidRPr="7DCEF4FC">
        <w:rPr>
          <w:rFonts w:ascii="Arial" w:hAnsi="Arial" w:cs="Arial"/>
          <w:sz w:val="24"/>
          <w:szCs w:val="24"/>
        </w:rPr>
        <w:t xml:space="preserve">The variation between the size of local governments complicates setting a single tender threshold for the sector. For 88 of the State’s 137 local governments, the threshold of $150,000 represents more than 1% of their annual expenditure. This means that $150,000 can represent a significant proportion of the total annual budget of many local governments. </w:t>
      </w:r>
    </w:p>
    <w:p w14:paraId="698FE581" w14:textId="45EF4523" w:rsidR="00CA7F75" w:rsidRPr="008A223C" w:rsidRDefault="7DCEF4FC" w:rsidP="7DCEF4FC">
      <w:pPr>
        <w:spacing w:after="120" w:line="276" w:lineRule="auto"/>
        <w:jc w:val="both"/>
        <w:rPr>
          <w:rFonts w:ascii="Arial" w:hAnsi="Arial" w:cs="Arial"/>
          <w:sz w:val="24"/>
          <w:szCs w:val="24"/>
        </w:rPr>
      </w:pPr>
      <w:r w:rsidRPr="7DCEF4FC">
        <w:rPr>
          <w:rFonts w:ascii="Arial" w:hAnsi="Arial" w:cs="Arial"/>
          <w:sz w:val="24"/>
          <w:szCs w:val="24"/>
        </w:rPr>
        <w:t xml:space="preserve">At the other end of the spectrum, 27 local governments have an annual budget that exceeds $50m annually. For these local governments, $150,000 is a comparatively small amount of their total annual budget.  </w:t>
      </w:r>
    </w:p>
    <w:p w14:paraId="506462EC" w14:textId="77777777" w:rsidR="00CA7F75" w:rsidRPr="008A223C" w:rsidRDefault="7DCEF4FC" w:rsidP="7DCEF4FC">
      <w:pPr>
        <w:spacing w:after="120" w:line="276" w:lineRule="auto"/>
        <w:jc w:val="both"/>
        <w:rPr>
          <w:rFonts w:ascii="Arial" w:hAnsi="Arial" w:cs="Arial"/>
          <w:b/>
          <w:bCs/>
          <w:color w:val="C00000"/>
          <w:sz w:val="24"/>
          <w:szCs w:val="24"/>
        </w:rPr>
      </w:pPr>
      <w:r w:rsidRPr="7DCEF4FC">
        <w:rPr>
          <w:rFonts w:ascii="Arial" w:hAnsi="Arial" w:cs="Arial"/>
          <w:b/>
          <w:bCs/>
          <w:color w:val="C00000"/>
          <w:sz w:val="24"/>
          <w:szCs w:val="24"/>
        </w:rPr>
        <w:t>Tender threshold based on local government expenditure</w:t>
      </w:r>
    </w:p>
    <w:p w14:paraId="3633E881" w14:textId="6AAE3AB9" w:rsidR="00CA7F75" w:rsidRPr="008A223C" w:rsidRDefault="7DCEF4FC" w:rsidP="7DCEF4FC">
      <w:pPr>
        <w:spacing w:after="120" w:line="276" w:lineRule="auto"/>
        <w:jc w:val="both"/>
        <w:rPr>
          <w:rFonts w:ascii="Arial" w:hAnsi="Arial" w:cs="Arial"/>
          <w:sz w:val="24"/>
          <w:szCs w:val="24"/>
        </w:rPr>
      </w:pPr>
      <w:r w:rsidRPr="7DCEF4FC">
        <w:rPr>
          <w:rFonts w:ascii="Arial" w:hAnsi="Arial" w:cs="Arial"/>
          <w:sz w:val="24"/>
          <w:szCs w:val="24"/>
        </w:rPr>
        <w:t>One option is to set tender threshold rules based on a local government’s annual average expenditure. Under this approach, local governments would be required to advertise for tenders for goods, services and capital works with an anticipated value that is greater than a prescribed percentage of that local government’s average annual operating expenditure over a set number of years up to a maximum amount.</w:t>
      </w:r>
    </w:p>
    <w:tbl>
      <w:tblPr>
        <w:tblStyle w:val="TableGrid"/>
        <w:tblW w:w="0" w:type="auto"/>
        <w:shd w:val="clear" w:color="auto" w:fill="C0311A"/>
        <w:tblLook w:val="04A0" w:firstRow="1" w:lastRow="0" w:firstColumn="1" w:lastColumn="0" w:noHBand="0" w:noVBand="1"/>
      </w:tblPr>
      <w:tblGrid>
        <w:gridCol w:w="9016"/>
      </w:tblGrid>
      <w:tr w:rsidR="00C900CA" w:rsidRPr="00C900CA" w14:paraId="6A1C23B9" w14:textId="77777777" w:rsidTr="7DCEF4FC">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C0311A"/>
          </w:tcPr>
          <w:p w14:paraId="006B5E81" w14:textId="77777777" w:rsidR="00CA7F75" w:rsidRPr="008E2508" w:rsidRDefault="7DCEF4FC" w:rsidP="7DCEF4FC">
            <w:pPr>
              <w:spacing w:before="0" w:after="120" w:line="276" w:lineRule="auto"/>
              <w:jc w:val="both"/>
              <w:rPr>
                <w:rFonts w:eastAsiaTheme="minorEastAsia" w:cs="Arial"/>
                <w:color w:val="FFFFFF" w:themeColor="background1"/>
              </w:rPr>
            </w:pPr>
            <w:r w:rsidRPr="7DCEF4FC">
              <w:rPr>
                <w:rFonts w:eastAsiaTheme="minorEastAsia" w:cs="Arial"/>
                <w:color w:val="FFFFFF" w:themeColor="background1"/>
              </w:rPr>
              <w:t>Example – tender thresholds scaled to expenditure</w:t>
            </w:r>
          </w:p>
          <w:p w14:paraId="321532D6" w14:textId="6793DDB8" w:rsidR="00CA7F75" w:rsidRPr="008E2508" w:rsidRDefault="7DCEF4FC" w:rsidP="7DCEF4FC">
            <w:pPr>
              <w:spacing w:before="0" w:after="120" w:line="276" w:lineRule="auto"/>
              <w:jc w:val="both"/>
              <w:rPr>
                <w:rFonts w:eastAsiaTheme="minorEastAsia" w:cs="Arial"/>
                <w:b w:val="0"/>
                <w:color w:val="FFFFFF" w:themeColor="background1"/>
              </w:rPr>
            </w:pPr>
            <w:r w:rsidRPr="7DCEF4FC">
              <w:rPr>
                <w:rFonts w:eastAsiaTheme="minorEastAsia" w:cs="Arial"/>
                <w:b w:val="0"/>
                <w:color w:val="FFFFFF" w:themeColor="background1"/>
              </w:rPr>
              <w:t>Over the last three financial years a given local government has had an annual operating expenditure of $63 million, $60 million and $59 million. The three-year average annual operating expenditure of the local government is $60.6 million.</w:t>
            </w:r>
          </w:p>
          <w:p w14:paraId="724C0984" w14:textId="77777777" w:rsidR="00CA7F75" w:rsidRPr="008E2508" w:rsidRDefault="7DCEF4FC" w:rsidP="7DCEF4FC">
            <w:pPr>
              <w:spacing w:before="0" w:after="120" w:line="276" w:lineRule="auto"/>
              <w:jc w:val="both"/>
              <w:rPr>
                <w:rFonts w:eastAsiaTheme="minorEastAsia" w:cs="Arial"/>
                <w:b w:val="0"/>
                <w:color w:val="FFFFFF" w:themeColor="background1"/>
              </w:rPr>
            </w:pPr>
            <w:r w:rsidRPr="7DCEF4FC">
              <w:rPr>
                <w:rFonts w:eastAsiaTheme="minorEastAsia" w:cs="Arial"/>
                <w:b w:val="0"/>
                <w:color w:val="FFFFFF" w:themeColor="background1"/>
              </w:rPr>
              <w:t>Under an approach that scaled tender thresholds according to expenditure, the local government would need to advertise for tenders for goods, services or capital works with an anticipated value that was greater than a prescribed percentage of this average annual expenditure.</w:t>
            </w:r>
          </w:p>
          <w:p w14:paraId="6A16071F" w14:textId="77777777" w:rsidR="00CA7F75" w:rsidRPr="00C900CA" w:rsidRDefault="7DCEF4FC" w:rsidP="7DCEF4FC">
            <w:pPr>
              <w:spacing w:before="0" w:after="120" w:line="276" w:lineRule="auto"/>
              <w:jc w:val="both"/>
              <w:rPr>
                <w:rFonts w:eastAsiaTheme="minorEastAsia" w:cs="Arial"/>
                <w:b w:val="0"/>
                <w:color w:val="FFFFFF" w:themeColor="background1"/>
              </w:rPr>
            </w:pPr>
            <w:r w:rsidRPr="7DCEF4FC">
              <w:rPr>
                <w:rFonts w:eastAsiaTheme="minorEastAsia" w:cs="Arial"/>
                <w:b w:val="0"/>
                <w:color w:val="FFFFFF" w:themeColor="background1"/>
              </w:rPr>
              <w:t>In this scenario, if the prescribed percentage was 0.25%, for example, the tender threshold for the local government would be $151,500.</w:t>
            </w:r>
          </w:p>
        </w:tc>
      </w:tr>
    </w:tbl>
    <w:p w14:paraId="54936CE3" w14:textId="77777777" w:rsidR="00CA7F75" w:rsidRPr="008A223C" w:rsidRDefault="00CA7F75" w:rsidP="008A223C">
      <w:pPr>
        <w:spacing w:after="120" w:line="276" w:lineRule="auto"/>
        <w:jc w:val="both"/>
        <w:rPr>
          <w:rFonts w:ascii="Arial" w:eastAsiaTheme="minorEastAsia" w:hAnsi="Arial" w:cs="Arial"/>
          <w:bCs/>
          <w:sz w:val="24"/>
        </w:rPr>
      </w:pPr>
    </w:p>
    <w:p w14:paraId="36C523E5" w14:textId="77777777" w:rsidR="00CA7F75" w:rsidRPr="008A223C" w:rsidRDefault="7DCEF4FC" w:rsidP="7DCEF4FC">
      <w:pPr>
        <w:spacing w:after="120" w:line="276" w:lineRule="auto"/>
        <w:jc w:val="both"/>
        <w:rPr>
          <w:rFonts w:ascii="Arial" w:eastAsiaTheme="minorEastAsia" w:hAnsi="Arial" w:cs="Arial"/>
          <w:sz w:val="24"/>
          <w:szCs w:val="24"/>
        </w:rPr>
      </w:pPr>
      <w:r w:rsidRPr="7DCEF4FC">
        <w:rPr>
          <w:rFonts w:ascii="Arial" w:eastAsiaTheme="minorEastAsia" w:hAnsi="Arial" w:cs="Arial"/>
          <w:sz w:val="24"/>
          <w:szCs w:val="24"/>
        </w:rPr>
        <w:t xml:space="preserve">This approach would still require a nominal ceiling amount where a public call for tenders is required to </w:t>
      </w:r>
      <w:proofErr w:type="gramStart"/>
      <w:r w:rsidRPr="7DCEF4FC">
        <w:rPr>
          <w:rFonts w:ascii="Arial" w:eastAsiaTheme="minorEastAsia" w:hAnsi="Arial" w:cs="Arial"/>
          <w:sz w:val="24"/>
          <w:szCs w:val="24"/>
        </w:rPr>
        <w:t>take into account</w:t>
      </w:r>
      <w:proofErr w:type="gramEnd"/>
      <w:r w:rsidRPr="7DCEF4FC">
        <w:rPr>
          <w:rFonts w:ascii="Arial" w:eastAsiaTheme="minorEastAsia" w:hAnsi="Arial" w:cs="Arial"/>
          <w:sz w:val="24"/>
          <w:szCs w:val="24"/>
        </w:rPr>
        <w:t xml:space="preserve"> the comparably large annual expenditure of approximately a dozen large metropolitan local governments and floor to take into account the majority of small regional local governments with an operating budget closer to $10m.</w:t>
      </w:r>
    </w:p>
    <w:p w14:paraId="2CFFADAE" w14:textId="77777777" w:rsidR="008E2508" w:rsidRDefault="008E2508" w:rsidP="008A223C">
      <w:pPr>
        <w:spacing w:after="120" w:line="276" w:lineRule="auto"/>
        <w:jc w:val="both"/>
        <w:rPr>
          <w:rFonts w:ascii="Arial" w:eastAsiaTheme="minorEastAsia" w:hAnsi="Arial" w:cs="Arial"/>
          <w:sz w:val="24"/>
        </w:rPr>
      </w:pPr>
    </w:p>
    <w:p w14:paraId="39BF1AA9" w14:textId="77777777" w:rsidR="008E2508" w:rsidRDefault="008E2508" w:rsidP="008A223C">
      <w:pPr>
        <w:spacing w:after="120" w:line="276" w:lineRule="auto"/>
        <w:jc w:val="both"/>
        <w:rPr>
          <w:rFonts w:ascii="Arial" w:eastAsiaTheme="minorEastAsia" w:hAnsi="Arial" w:cs="Arial"/>
          <w:sz w:val="24"/>
        </w:rPr>
      </w:pPr>
    </w:p>
    <w:p w14:paraId="0D78E7AE" w14:textId="77777777" w:rsidR="008E2508" w:rsidRDefault="008E2508" w:rsidP="008A223C">
      <w:pPr>
        <w:spacing w:after="120" w:line="276" w:lineRule="auto"/>
        <w:jc w:val="both"/>
        <w:rPr>
          <w:rFonts w:ascii="Arial" w:eastAsiaTheme="minorEastAsia" w:hAnsi="Arial" w:cs="Arial"/>
          <w:sz w:val="24"/>
        </w:rPr>
      </w:pPr>
    </w:p>
    <w:p w14:paraId="0A2F84BC" w14:textId="3C805355" w:rsidR="008E2508" w:rsidRPr="008A223C" w:rsidRDefault="7DCEF4FC" w:rsidP="7DCEF4FC">
      <w:pPr>
        <w:spacing w:before="240" w:after="120" w:line="276" w:lineRule="auto"/>
        <w:jc w:val="both"/>
        <w:rPr>
          <w:rFonts w:ascii="Arial" w:eastAsiaTheme="minorEastAsia" w:hAnsi="Arial" w:cs="Arial"/>
          <w:sz w:val="24"/>
          <w:szCs w:val="24"/>
        </w:rPr>
      </w:pPr>
      <w:r w:rsidRPr="7DCEF4FC">
        <w:rPr>
          <w:rFonts w:ascii="Arial" w:eastAsiaTheme="minorEastAsia" w:hAnsi="Arial" w:cs="Arial"/>
          <w:sz w:val="24"/>
          <w:szCs w:val="24"/>
        </w:rPr>
        <w:lastRenderedPageBreak/>
        <w:t>Another option using banding based on operating budgets could be employed is shown below:</w:t>
      </w:r>
    </w:p>
    <w:tbl>
      <w:tblPr>
        <w:tblStyle w:val="DLGCTable-Form2"/>
        <w:tblW w:w="9872" w:type="dxa"/>
        <w:tblInd w:w="-147" w:type="dxa"/>
        <w:tblLayout w:type="fixed"/>
        <w:tblLook w:val="04A0" w:firstRow="1" w:lastRow="0" w:firstColumn="1" w:lastColumn="0" w:noHBand="0" w:noVBand="1"/>
      </w:tblPr>
      <w:tblGrid>
        <w:gridCol w:w="2977"/>
        <w:gridCol w:w="1843"/>
        <w:gridCol w:w="3119"/>
        <w:gridCol w:w="1933"/>
      </w:tblGrid>
      <w:tr w:rsidR="00C900CA" w:rsidRPr="00C900CA" w14:paraId="07580DA3" w14:textId="77777777" w:rsidTr="7DCEF4FC">
        <w:trPr>
          <w:cnfStyle w:val="100000000000" w:firstRow="1" w:lastRow="0" w:firstColumn="0" w:lastColumn="0" w:oddVBand="0" w:evenVBand="0" w:oddHBand="0" w:evenHBand="0" w:firstRowFirstColumn="0" w:firstRowLastColumn="0" w:lastRowFirstColumn="0" w:lastRowLastColumn="0"/>
          <w:trHeight w:val="796"/>
        </w:trPr>
        <w:tc>
          <w:tcPr>
            <w:tcW w:w="2977" w:type="dxa"/>
            <w:tcBorders>
              <w:right w:val="single" w:sz="4" w:space="0" w:color="auto"/>
            </w:tcBorders>
            <w:shd w:val="clear" w:color="auto" w:fill="C0311A"/>
          </w:tcPr>
          <w:p w14:paraId="2468BC1F" w14:textId="77777777" w:rsidR="00CA7F75" w:rsidRPr="008E2508" w:rsidRDefault="7DCEF4FC" w:rsidP="7DCEF4FC">
            <w:pPr>
              <w:spacing w:before="0" w:after="120" w:line="276" w:lineRule="auto"/>
              <w:rPr>
                <w:rFonts w:cs="Arial"/>
                <w:color w:val="FFFFFF" w:themeColor="background1"/>
              </w:rPr>
            </w:pPr>
            <w:r w:rsidRPr="7DCEF4FC">
              <w:rPr>
                <w:rFonts w:cs="Arial"/>
                <w:color w:val="FFFFFF" w:themeColor="background1"/>
              </w:rPr>
              <w:t>Operating Expenditure</w:t>
            </w:r>
          </w:p>
        </w:tc>
        <w:tc>
          <w:tcPr>
            <w:tcW w:w="1843" w:type="dxa"/>
            <w:tcBorders>
              <w:left w:val="single" w:sz="4" w:space="0" w:color="auto"/>
              <w:right w:val="single" w:sz="4" w:space="0" w:color="auto"/>
            </w:tcBorders>
            <w:shd w:val="clear" w:color="auto" w:fill="C0311A"/>
          </w:tcPr>
          <w:p w14:paraId="6105C913" w14:textId="77777777" w:rsidR="00CA7F75" w:rsidRPr="008E2508" w:rsidRDefault="7DCEF4FC" w:rsidP="7DCEF4FC">
            <w:pPr>
              <w:spacing w:before="0" w:after="120" w:line="276" w:lineRule="auto"/>
              <w:rPr>
                <w:rFonts w:cs="Arial"/>
                <w:color w:val="FFFFFF" w:themeColor="background1"/>
              </w:rPr>
            </w:pPr>
            <w:r w:rsidRPr="7DCEF4FC">
              <w:rPr>
                <w:rFonts w:cs="Arial"/>
                <w:color w:val="FFFFFF" w:themeColor="background1"/>
              </w:rPr>
              <w:t>Threshold percentage</w:t>
            </w:r>
          </w:p>
        </w:tc>
        <w:tc>
          <w:tcPr>
            <w:tcW w:w="3119" w:type="dxa"/>
            <w:tcBorders>
              <w:left w:val="single" w:sz="4" w:space="0" w:color="auto"/>
              <w:right w:val="single" w:sz="4" w:space="0" w:color="auto"/>
            </w:tcBorders>
            <w:shd w:val="clear" w:color="auto" w:fill="C0311A"/>
          </w:tcPr>
          <w:p w14:paraId="35FFD99C" w14:textId="77777777" w:rsidR="00CA7F75" w:rsidRPr="008E2508" w:rsidRDefault="7DCEF4FC" w:rsidP="7DCEF4FC">
            <w:pPr>
              <w:spacing w:before="0" w:after="120" w:line="276" w:lineRule="auto"/>
              <w:rPr>
                <w:rFonts w:cs="Arial"/>
                <w:color w:val="FFFFFF" w:themeColor="background1"/>
              </w:rPr>
            </w:pPr>
            <w:r w:rsidRPr="7DCEF4FC">
              <w:rPr>
                <w:rFonts w:cs="Arial"/>
                <w:color w:val="FFFFFF" w:themeColor="background1"/>
              </w:rPr>
              <w:t>Range of public tender amount</w:t>
            </w:r>
          </w:p>
        </w:tc>
        <w:tc>
          <w:tcPr>
            <w:tcW w:w="1933" w:type="dxa"/>
            <w:tcBorders>
              <w:left w:val="single" w:sz="4" w:space="0" w:color="auto"/>
            </w:tcBorders>
            <w:shd w:val="clear" w:color="auto" w:fill="C0311A"/>
          </w:tcPr>
          <w:p w14:paraId="334C0B3E" w14:textId="77777777" w:rsidR="00CA7F75" w:rsidRPr="008E2508" w:rsidRDefault="7DCEF4FC" w:rsidP="7DCEF4FC">
            <w:pPr>
              <w:spacing w:before="0" w:after="120" w:line="276" w:lineRule="auto"/>
              <w:rPr>
                <w:rFonts w:cs="Arial"/>
                <w:color w:val="FFFFFF" w:themeColor="background1"/>
              </w:rPr>
            </w:pPr>
            <w:r w:rsidRPr="7DCEF4FC">
              <w:rPr>
                <w:rFonts w:cs="Arial"/>
                <w:color w:val="FFFFFF" w:themeColor="background1"/>
              </w:rPr>
              <w:t>Number of local governments currently in category</w:t>
            </w:r>
          </w:p>
        </w:tc>
      </w:tr>
      <w:tr w:rsidR="00CA7F75" w:rsidRPr="00FC154F" w14:paraId="0650F2FB" w14:textId="77777777" w:rsidTr="7DCEF4FC">
        <w:trPr>
          <w:trHeight w:val="481"/>
        </w:trPr>
        <w:tc>
          <w:tcPr>
            <w:tcW w:w="2977" w:type="dxa"/>
            <w:shd w:val="clear" w:color="auto" w:fill="auto"/>
            <w:vAlign w:val="center"/>
          </w:tcPr>
          <w:p w14:paraId="580FDDF6" w14:textId="2B80A65A" w:rsidR="00CA7F75" w:rsidRPr="008E2508" w:rsidRDefault="7DCEF4FC" w:rsidP="7DCEF4FC">
            <w:pPr>
              <w:spacing w:before="0" w:after="120" w:line="276" w:lineRule="auto"/>
              <w:rPr>
                <w:rFonts w:cs="Arial"/>
              </w:rPr>
            </w:pPr>
            <w:r w:rsidRPr="7DCEF4FC">
              <w:rPr>
                <w:rFonts w:eastAsiaTheme="minorEastAsia" w:cs="Arial"/>
              </w:rPr>
              <w:t>More than $40 million</w:t>
            </w:r>
          </w:p>
        </w:tc>
        <w:tc>
          <w:tcPr>
            <w:tcW w:w="1843" w:type="dxa"/>
            <w:tcBorders>
              <w:right w:val="nil"/>
            </w:tcBorders>
            <w:shd w:val="clear" w:color="auto" w:fill="auto"/>
          </w:tcPr>
          <w:p w14:paraId="73C30599" w14:textId="77777777" w:rsidR="00CA7F75" w:rsidRPr="008E2508" w:rsidRDefault="7DCEF4FC" w:rsidP="7DCEF4FC">
            <w:pPr>
              <w:spacing w:before="0" w:after="120" w:line="276" w:lineRule="auto"/>
              <w:rPr>
                <w:rFonts w:cs="Arial"/>
              </w:rPr>
            </w:pPr>
            <w:r w:rsidRPr="7DCEF4FC">
              <w:rPr>
                <w:rFonts w:eastAsia="Calibri," w:cs="Arial"/>
              </w:rPr>
              <w:t>0.5%</w:t>
            </w:r>
          </w:p>
        </w:tc>
        <w:tc>
          <w:tcPr>
            <w:tcW w:w="3119" w:type="dxa"/>
            <w:tcBorders>
              <w:right w:val="nil"/>
            </w:tcBorders>
            <w:shd w:val="clear" w:color="auto" w:fill="auto"/>
          </w:tcPr>
          <w:p w14:paraId="1BBAB99E" w14:textId="77777777" w:rsidR="00CA7F75" w:rsidRPr="008E2508" w:rsidRDefault="7DCEF4FC" w:rsidP="7DCEF4FC">
            <w:pPr>
              <w:spacing w:before="0" w:after="120" w:line="276" w:lineRule="auto"/>
              <w:rPr>
                <w:rFonts w:cs="Arial"/>
              </w:rPr>
            </w:pPr>
            <w:r w:rsidRPr="7DCEF4FC">
              <w:rPr>
                <w:rFonts w:eastAsia="Calibri" w:cs="Arial"/>
              </w:rPr>
              <w:t>$200,000 - $200,000 +</w:t>
            </w:r>
          </w:p>
        </w:tc>
        <w:tc>
          <w:tcPr>
            <w:tcW w:w="1933" w:type="dxa"/>
          </w:tcPr>
          <w:p w14:paraId="656F9FC3" w14:textId="77777777" w:rsidR="00CA7F75" w:rsidRPr="008E2508" w:rsidRDefault="7DCEF4FC" w:rsidP="7DCEF4FC">
            <w:pPr>
              <w:spacing w:before="0" w:after="120" w:line="276" w:lineRule="auto"/>
              <w:rPr>
                <w:rFonts w:cs="Arial"/>
              </w:rPr>
            </w:pPr>
            <w:r w:rsidRPr="7DCEF4FC">
              <w:rPr>
                <w:rFonts w:cs="Arial"/>
              </w:rPr>
              <w:t>34</w:t>
            </w:r>
          </w:p>
        </w:tc>
      </w:tr>
      <w:tr w:rsidR="00CA7F75" w:rsidRPr="00FC154F" w14:paraId="1191BFA9" w14:textId="77777777" w:rsidTr="7DCEF4FC">
        <w:trPr>
          <w:trHeight w:val="481"/>
        </w:trPr>
        <w:tc>
          <w:tcPr>
            <w:tcW w:w="2977" w:type="dxa"/>
            <w:shd w:val="clear" w:color="auto" w:fill="auto"/>
            <w:vAlign w:val="center"/>
          </w:tcPr>
          <w:p w14:paraId="6A863350" w14:textId="2A8ACA39" w:rsidR="00CA7F75" w:rsidRPr="008E2508" w:rsidRDefault="7DCEF4FC" w:rsidP="7DCEF4FC">
            <w:pPr>
              <w:spacing w:before="0" w:after="120" w:line="276" w:lineRule="auto"/>
              <w:rPr>
                <w:rFonts w:cs="Arial"/>
              </w:rPr>
            </w:pPr>
            <w:r w:rsidRPr="7DCEF4FC">
              <w:rPr>
                <w:rFonts w:eastAsiaTheme="minorEastAsia" w:cs="Arial"/>
              </w:rPr>
              <w:t>More than $10 million but not greater than $40 million</w:t>
            </w:r>
          </w:p>
        </w:tc>
        <w:tc>
          <w:tcPr>
            <w:tcW w:w="1843" w:type="dxa"/>
            <w:tcBorders>
              <w:right w:val="nil"/>
            </w:tcBorders>
            <w:shd w:val="clear" w:color="auto" w:fill="auto"/>
          </w:tcPr>
          <w:p w14:paraId="396B83BE" w14:textId="77777777" w:rsidR="00CA7F75" w:rsidRPr="008E2508" w:rsidRDefault="7DCEF4FC" w:rsidP="7DCEF4FC">
            <w:pPr>
              <w:spacing w:before="0" w:after="120" w:line="276" w:lineRule="auto"/>
              <w:rPr>
                <w:rFonts w:cs="Arial"/>
              </w:rPr>
            </w:pPr>
            <w:r w:rsidRPr="7DCEF4FC">
              <w:rPr>
                <w:rFonts w:eastAsia="Calibri," w:cs="Arial"/>
              </w:rPr>
              <w:t>1.75%</w:t>
            </w:r>
          </w:p>
        </w:tc>
        <w:tc>
          <w:tcPr>
            <w:tcW w:w="3119" w:type="dxa"/>
            <w:tcBorders>
              <w:right w:val="nil"/>
            </w:tcBorders>
            <w:shd w:val="clear" w:color="auto" w:fill="auto"/>
          </w:tcPr>
          <w:p w14:paraId="6CA9D747" w14:textId="77777777" w:rsidR="00CA7F75" w:rsidRPr="008E2508" w:rsidRDefault="7DCEF4FC" w:rsidP="7DCEF4FC">
            <w:pPr>
              <w:spacing w:before="0" w:after="120" w:line="276" w:lineRule="auto"/>
              <w:rPr>
                <w:rFonts w:cs="Arial"/>
              </w:rPr>
            </w:pPr>
            <w:r w:rsidRPr="7DCEF4FC">
              <w:rPr>
                <w:rFonts w:eastAsia="Calibri" w:cs="Arial"/>
              </w:rPr>
              <w:t>$175,000 - $200,000</w:t>
            </w:r>
          </w:p>
        </w:tc>
        <w:tc>
          <w:tcPr>
            <w:tcW w:w="1933" w:type="dxa"/>
          </w:tcPr>
          <w:p w14:paraId="4AB4B508" w14:textId="77777777" w:rsidR="00CA7F75" w:rsidRPr="008E2508" w:rsidRDefault="7DCEF4FC" w:rsidP="7DCEF4FC">
            <w:pPr>
              <w:spacing w:before="0" w:after="120" w:line="276" w:lineRule="auto"/>
              <w:rPr>
                <w:rFonts w:cs="Arial"/>
              </w:rPr>
            </w:pPr>
            <w:r w:rsidRPr="7DCEF4FC">
              <w:rPr>
                <w:rFonts w:cs="Arial"/>
              </w:rPr>
              <w:t>38</w:t>
            </w:r>
          </w:p>
        </w:tc>
      </w:tr>
      <w:tr w:rsidR="00CA7F75" w:rsidRPr="00FC154F" w14:paraId="6028906B" w14:textId="77777777" w:rsidTr="7DCEF4FC">
        <w:trPr>
          <w:trHeight w:val="481"/>
        </w:trPr>
        <w:tc>
          <w:tcPr>
            <w:tcW w:w="2977" w:type="dxa"/>
            <w:shd w:val="clear" w:color="auto" w:fill="auto"/>
            <w:vAlign w:val="center"/>
          </w:tcPr>
          <w:p w14:paraId="1F728260" w14:textId="385898C9" w:rsidR="00CA7F75" w:rsidRPr="008E2508" w:rsidRDefault="7DCEF4FC" w:rsidP="7DCEF4FC">
            <w:pPr>
              <w:spacing w:before="0" w:after="120" w:line="276" w:lineRule="auto"/>
              <w:rPr>
                <w:rFonts w:cs="Arial"/>
              </w:rPr>
            </w:pPr>
            <w:r w:rsidRPr="7DCEF4FC">
              <w:rPr>
                <w:rFonts w:eastAsiaTheme="minorEastAsia" w:cs="Arial"/>
              </w:rPr>
              <w:t>More than $5 million but not greater than $10 million</w:t>
            </w:r>
          </w:p>
        </w:tc>
        <w:tc>
          <w:tcPr>
            <w:tcW w:w="1843" w:type="dxa"/>
            <w:tcBorders>
              <w:right w:val="nil"/>
            </w:tcBorders>
            <w:shd w:val="clear" w:color="auto" w:fill="auto"/>
          </w:tcPr>
          <w:p w14:paraId="07005766" w14:textId="77777777" w:rsidR="00CA7F75" w:rsidRPr="008E2508" w:rsidRDefault="7DCEF4FC" w:rsidP="7DCEF4FC">
            <w:pPr>
              <w:spacing w:before="0" w:after="120" w:line="276" w:lineRule="auto"/>
              <w:rPr>
                <w:rFonts w:cs="Arial"/>
              </w:rPr>
            </w:pPr>
            <w:r w:rsidRPr="7DCEF4FC">
              <w:rPr>
                <w:rFonts w:eastAsia="Calibri," w:cs="Arial"/>
              </w:rPr>
              <w:t>3%</w:t>
            </w:r>
          </w:p>
        </w:tc>
        <w:tc>
          <w:tcPr>
            <w:tcW w:w="3119" w:type="dxa"/>
            <w:tcBorders>
              <w:right w:val="nil"/>
            </w:tcBorders>
            <w:shd w:val="clear" w:color="auto" w:fill="auto"/>
          </w:tcPr>
          <w:p w14:paraId="33259236" w14:textId="77777777" w:rsidR="00CA7F75" w:rsidRPr="008E2508" w:rsidRDefault="7DCEF4FC" w:rsidP="7DCEF4FC">
            <w:pPr>
              <w:spacing w:before="0" w:after="120" w:line="276" w:lineRule="auto"/>
              <w:rPr>
                <w:rFonts w:cs="Arial"/>
              </w:rPr>
            </w:pPr>
            <w:r w:rsidRPr="7DCEF4FC">
              <w:rPr>
                <w:rFonts w:eastAsia="Calibri" w:cs="Arial"/>
              </w:rPr>
              <w:t>$150,000 - $175,000</w:t>
            </w:r>
          </w:p>
        </w:tc>
        <w:tc>
          <w:tcPr>
            <w:tcW w:w="1933" w:type="dxa"/>
          </w:tcPr>
          <w:p w14:paraId="4366F743" w14:textId="77777777" w:rsidR="00CA7F75" w:rsidRPr="008E2508" w:rsidRDefault="7DCEF4FC" w:rsidP="7DCEF4FC">
            <w:pPr>
              <w:spacing w:before="0" w:after="120" w:line="276" w:lineRule="auto"/>
              <w:rPr>
                <w:rFonts w:cs="Arial"/>
              </w:rPr>
            </w:pPr>
            <w:r w:rsidRPr="7DCEF4FC">
              <w:rPr>
                <w:rFonts w:cs="Arial"/>
              </w:rPr>
              <w:t>44</w:t>
            </w:r>
          </w:p>
        </w:tc>
      </w:tr>
      <w:tr w:rsidR="00CA7F75" w:rsidRPr="00FC154F" w14:paraId="606F9E05" w14:textId="77777777" w:rsidTr="7DCEF4FC">
        <w:trPr>
          <w:trHeight w:val="481"/>
        </w:trPr>
        <w:tc>
          <w:tcPr>
            <w:tcW w:w="2977" w:type="dxa"/>
            <w:shd w:val="clear" w:color="auto" w:fill="auto"/>
            <w:vAlign w:val="center"/>
          </w:tcPr>
          <w:p w14:paraId="0F3932DD" w14:textId="6613543D" w:rsidR="00CA7F75" w:rsidRPr="008E2508" w:rsidRDefault="7DCEF4FC" w:rsidP="7DCEF4FC">
            <w:pPr>
              <w:spacing w:before="0" w:after="120" w:line="276" w:lineRule="auto"/>
              <w:rPr>
                <w:rFonts w:cs="Arial"/>
              </w:rPr>
            </w:pPr>
            <w:r w:rsidRPr="7DCEF4FC">
              <w:rPr>
                <w:rFonts w:eastAsiaTheme="minorEastAsia" w:cs="Arial"/>
              </w:rPr>
              <w:t>Less than $5 million</w:t>
            </w:r>
          </w:p>
        </w:tc>
        <w:tc>
          <w:tcPr>
            <w:tcW w:w="1843" w:type="dxa"/>
            <w:tcBorders>
              <w:right w:val="nil"/>
            </w:tcBorders>
            <w:shd w:val="clear" w:color="auto" w:fill="auto"/>
          </w:tcPr>
          <w:p w14:paraId="20610188" w14:textId="77777777" w:rsidR="00CA7F75" w:rsidRPr="008E2508" w:rsidRDefault="7DCEF4FC" w:rsidP="7DCEF4FC">
            <w:pPr>
              <w:spacing w:before="0" w:after="120" w:line="276" w:lineRule="auto"/>
              <w:rPr>
                <w:rFonts w:cs="Arial"/>
              </w:rPr>
            </w:pPr>
            <w:r w:rsidRPr="7DCEF4FC">
              <w:rPr>
                <w:rFonts w:eastAsia="Calibri," w:cs="Arial"/>
              </w:rPr>
              <w:t>3%</w:t>
            </w:r>
          </w:p>
        </w:tc>
        <w:tc>
          <w:tcPr>
            <w:tcW w:w="3119" w:type="dxa"/>
            <w:tcBorders>
              <w:right w:val="nil"/>
            </w:tcBorders>
            <w:shd w:val="clear" w:color="auto" w:fill="auto"/>
          </w:tcPr>
          <w:p w14:paraId="44848F8E" w14:textId="77777777" w:rsidR="00CA7F75" w:rsidRPr="008E2508" w:rsidRDefault="7DCEF4FC" w:rsidP="7DCEF4FC">
            <w:pPr>
              <w:spacing w:before="0" w:after="120" w:line="276" w:lineRule="auto"/>
              <w:rPr>
                <w:rFonts w:cs="Arial"/>
              </w:rPr>
            </w:pPr>
            <w:r w:rsidRPr="7DCEF4FC">
              <w:rPr>
                <w:rFonts w:eastAsia="Calibri" w:cs="Arial"/>
              </w:rPr>
              <w:t>Less than $150,000 - $150,000</w:t>
            </w:r>
          </w:p>
        </w:tc>
        <w:tc>
          <w:tcPr>
            <w:tcW w:w="1933" w:type="dxa"/>
          </w:tcPr>
          <w:p w14:paraId="2C840990" w14:textId="77777777" w:rsidR="00CA7F75" w:rsidRPr="008E2508" w:rsidRDefault="7DCEF4FC" w:rsidP="7DCEF4FC">
            <w:pPr>
              <w:spacing w:before="0" w:after="120" w:line="276" w:lineRule="auto"/>
              <w:rPr>
                <w:rFonts w:cs="Arial"/>
              </w:rPr>
            </w:pPr>
            <w:r w:rsidRPr="7DCEF4FC">
              <w:rPr>
                <w:rFonts w:cs="Arial"/>
              </w:rPr>
              <w:t>21</w:t>
            </w:r>
          </w:p>
        </w:tc>
      </w:tr>
    </w:tbl>
    <w:p w14:paraId="350E1550" w14:textId="77777777" w:rsidR="00CA7F75" w:rsidRPr="00FC154F" w:rsidRDefault="00CA7F75" w:rsidP="00CA7F75">
      <w:pPr>
        <w:spacing w:after="120" w:line="276" w:lineRule="auto"/>
        <w:jc w:val="both"/>
        <w:rPr>
          <w:rFonts w:ascii="Arial" w:hAnsi="Arial" w:cs="Arial"/>
        </w:rPr>
      </w:pPr>
    </w:p>
    <w:p w14:paraId="78545C53" w14:textId="22E6BE4D" w:rsidR="00CA7F75" w:rsidRPr="008A223C" w:rsidRDefault="7DCEF4FC" w:rsidP="7DCEF4FC">
      <w:pPr>
        <w:spacing w:after="120" w:line="276" w:lineRule="auto"/>
        <w:jc w:val="both"/>
        <w:rPr>
          <w:rFonts w:ascii="Arial" w:hAnsi="Arial" w:cs="Arial"/>
          <w:sz w:val="24"/>
          <w:szCs w:val="24"/>
        </w:rPr>
      </w:pPr>
      <w:r w:rsidRPr="7DCEF4FC">
        <w:rPr>
          <w:rFonts w:ascii="Arial" w:hAnsi="Arial" w:cs="Arial"/>
          <w:sz w:val="24"/>
          <w:szCs w:val="24"/>
        </w:rPr>
        <w:t>In this case, tiers of operating budget are used to set the public tender amount. As local government expenditure and capacity grows, local governments would graduate to a higher tier.</w:t>
      </w:r>
    </w:p>
    <w:p w14:paraId="5766DA2E" w14:textId="77777777" w:rsidR="00CA7F75" w:rsidRPr="008A223C" w:rsidRDefault="7DCEF4FC" w:rsidP="7DCEF4FC">
      <w:pPr>
        <w:spacing w:after="120" w:line="276" w:lineRule="auto"/>
        <w:jc w:val="both"/>
        <w:rPr>
          <w:rFonts w:ascii="Arial" w:hAnsi="Arial" w:cs="Arial"/>
          <w:b/>
          <w:bCs/>
          <w:color w:val="C00000"/>
          <w:sz w:val="24"/>
          <w:szCs w:val="24"/>
        </w:rPr>
      </w:pPr>
      <w:r w:rsidRPr="7DCEF4FC">
        <w:rPr>
          <w:rFonts w:ascii="Arial" w:hAnsi="Arial" w:cs="Arial"/>
          <w:b/>
          <w:bCs/>
          <w:color w:val="C00000"/>
          <w:sz w:val="24"/>
          <w:szCs w:val="24"/>
        </w:rPr>
        <w:t>Tender threshold based on an assigned band</w:t>
      </w:r>
    </w:p>
    <w:p w14:paraId="1FCD04A2" w14:textId="68EF1930" w:rsidR="00CA7F75" w:rsidRPr="008A223C" w:rsidRDefault="7DCEF4FC" w:rsidP="7DCEF4FC">
      <w:pPr>
        <w:spacing w:after="120" w:line="276" w:lineRule="auto"/>
        <w:jc w:val="both"/>
        <w:rPr>
          <w:rFonts w:ascii="Arial" w:hAnsi="Arial" w:cs="Arial"/>
          <w:sz w:val="24"/>
          <w:szCs w:val="24"/>
        </w:rPr>
      </w:pPr>
      <w:r w:rsidRPr="7DCEF4FC">
        <w:rPr>
          <w:rFonts w:ascii="Arial" w:hAnsi="Arial" w:cs="Arial"/>
          <w:sz w:val="24"/>
          <w:szCs w:val="24"/>
        </w:rPr>
        <w:t>Another approach could be to set the tender threshold based on an assigned band.  Banding is currently used by the Salaries and Allowances Tribunal (Tribunal) to set the remuneration of council members and local government Chief Executive Officers.</w:t>
      </w:r>
    </w:p>
    <w:p w14:paraId="1737803D" w14:textId="77777777" w:rsidR="00CA7F75" w:rsidRPr="008A223C" w:rsidRDefault="7DCEF4FC" w:rsidP="7DCEF4FC">
      <w:pPr>
        <w:spacing w:after="120" w:line="276" w:lineRule="auto"/>
        <w:jc w:val="both"/>
        <w:rPr>
          <w:rFonts w:ascii="Arial" w:hAnsi="Arial" w:cs="Arial"/>
          <w:sz w:val="24"/>
          <w:szCs w:val="24"/>
        </w:rPr>
      </w:pPr>
      <w:r w:rsidRPr="7DCEF4FC">
        <w:rPr>
          <w:rFonts w:ascii="Arial" w:hAnsi="Arial" w:cs="Arial"/>
          <w:sz w:val="24"/>
          <w:szCs w:val="24"/>
        </w:rPr>
        <w:t xml:space="preserve">Local governments are categorised into one of four bands by the Tribunal based on a model that incorporates factors such as population, diversity of services, significant social, economic and environmental issues and expenditure.  </w:t>
      </w:r>
    </w:p>
    <w:p w14:paraId="473F5F47" w14:textId="42A498B4" w:rsidR="00CA7F75" w:rsidRPr="008A223C" w:rsidRDefault="7DCEF4FC" w:rsidP="7DCEF4FC">
      <w:pPr>
        <w:spacing w:after="120" w:line="276" w:lineRule="auto"/>
        <w:jc w:val="both"/>
        <w:rPr>
          <w:rFonts w:ascii="Arial" w:hAnsi="Arial" w:cs="Arial"/>
          <w:sz w:val="24"/>
          <w:szCs w:val="24"/>
        </w:rPr>
      </w:pPr>
      <w:r w:rsidRPr="7DCEF4FC">
        <w:rPr>
          <w:rFonts w:ascii="Arial" w:hAnsi="Arial" w:cs="Arial"/>
          <w:sz w:val="24"/>
          <w:szCs w:val="24"/>
        </w:rPr>
        <w:t xml:space="preserve">Incorporating Tribunal bands could better reflect the diversity and varying capacity of local government. On the other hand, it could be argued that purchasing risk is not aligned with the factors used by the Tribunal.  </w:t>
      </w:r>
    </w:p>
    <w:p w14:paraId="75EB1AC0" w14:textId="77777777" w:rsidR="008E2508" w:rsidRDefault="008E2508" w:rsidP="00CA7F75">
      <w:pPr>
        <w:spacing w:after="120" w:line="276" w:lineRule="auto"/>
        <w:jc w:val="both"/>
        <w:rPr>
          <w:rFonts w:ascii="Arial" w:hAnsi="Arial" w:cs="Arial"/>
          <w:sz w:val="24"/>
        </w:rPr>
      </w:pPr>
    </w:p>
    <w:p w14:paraId="4AA36C3D" w14:textId="77777777" w:rsidR="008E2508" w:rsidRDefault="008E2508" w:rsidP="00CA7F75">
      <w:pPr>
        <w:spacing w:after="120" w:line="276" w:lineRule="auto"/>
        <w:jc w:val="both"/>
        <w:rPr>
          <w:rFonts w:ascii="Arial" w:hAnsi="Arial" w:cs="Arial"/>
          <w:sz w:val="24"/>
        </w:rPr>
      </w:pPr>
    </w:p>
    <w:p w14:paraId="6AAB929A" w14:textId="77777777" w:rsidR="008E2508" w:rsidRDefault="008E2508" w:rsidP="00CA7F75">
      <w:pPr>
        <w:spacing w:after="120" w:line="276" w:lineRule="auto"/>
        <w:jc w:val="both"/>
        <w:rPr>
          <w:rFonts w:ascii="Arial" w:hAnsi="Arial" w:cs="Arial"/>
          <w:sz w:val="24"/>
        </w:rPr>
      </w:pPr>
    </w:p>
    <w:p w14:paraId="13364E38" w14:textId="77777777" w:rsidR="008E2508" w:rsidRDefault="008E2508" w:rsidP="00CA7F75">
      <w:pPr>
        <w:spacing w:after="120" w:line="276" w:lineRule="auto"/>
        <w:jc w:val="both"/>
        <w:rPr>
          <w:rFonts w:ascii="Arial" w:hAnsi="Arial" w:cs="Arial"/>
          <w:sz w:val="24"/>
        </w:rPr>
      </w:pPr>
    </w:p>
    <w:p w14:paraId="248B7192" w14:textId="77777777" w:rsidR="008E2508" w:rsidRDefault="008E2508" w:rsidP="00CA7F75">
      <w:pPr>
        <w:spacing w:after="120" w:line="276" w:lineRule="auto"/>
        <w:jc w:val="both"/>
        <w:rPr>
          <w:rFonts w:ascii="Arial" w:hAnsi="Arial" w:cs="Arial"/>
          <w:sz w:val="24"/>
        </w:rPr>
      </w:pPr>
    </w:p>
    <w:p w14:paraId="3D1B28BE" w14:textId="77777777" w:rsidR="008E2508" w:rsidRDefault="008E2508" w:rsidP="00CA7F75">
      <w:pPr>
        <w:spacing w:after="120" w:line="276" w:lineRule="auto"/>
        <w:jc w:val="both"/>
        <w:rPr>
          <w:rFonts w:ascii="Arial" w:hAnsi="Arial" w:cs="Arial"/>
          <w:sz w:val="24"/>
        </w:rPr>
      </w:pPr>
    </w:p>
    <w:p w14:paraId="65370CB2" w14:textId="5B96A3EA" w:rsidR="00CA7F75" w:rsidRPr="008A223C" w:rsidRDefault="7DCEF4FC" w:rsidP="7DCEF4FC">
      <w:pPr>
        <w:spacing w:after="120" w:line="276" w:lineRule="auto"/>
        <w:jc w:val="both"/>
        <w:rPr>
          <w:rFonts w:ascii="Arial" w:hAnsi="Arial" w:cs="Arial"/>
          <w:sz w:val="24"/>
          <w:szCs w:val="24"/>
        </w:rPr>
      </w:pPr>
      <w:r w:rsidRPr="7DCEF4FC">
        <w:rPr>
          <w:rFonts w:ascii="Arial" w:hAnsi="Arial" w:cs="Arial"/>
          <w:sz w:val="24"/>
          <w:szCs w:val="24"/>
        </w:rPr>
        <w:lastRenderedPageBreak/>
        <w:t>One example of how the Tribunal’s bands could be related to the tender threshold is shown in the table below:</w:t>
      </w:r>
    </w:p>
    <w:tbl>
      <w:tblPr>
        <w:tblStyle w:val="TableGrid"/>
        <w:tblW w:w="9016" w:type="dxa"/>
        <w:tblLayout w:type="fixed"/>
        <w:tblLook w:val="04A0" w:firstRow="1" w:lastRow="0" w:firstColumn="1" w:lastColumn="0" w:noHBand="0" w:noVBand="1"/>
      </w:tblPr>
      <w:tblGrid>
        <w:gridCol w:w="1696"/>
        <w:gridCol w:w="3495"/>
        <w:gridCol w:w="3825"/>
      </w:tblGrid>
      <w:tr w:rsidR="00C900CA" w:rsidRPr="00C900CA" w14:paraId="23E4735E" w14:textId="77777777" w:rsidTr="7DCEF4FC">
        <w:trPr>
          <w:cnfStyle w:val="100000000000" w:firstRow="1" w:lastRow="0" w:firstColumn="0" w:lastColumn="0" w:oddVBand="0" w:evenVBand="0" w:oddHBand="0" w:evenHBand="0" w:firstRowFirstColumn="0" w:firstRowLastColumn="0" w:lastRowFirstColumn="0" w:lastRowLastColumn="0"/>
          <w:trHeight w:val="796"/>
        </w:trPr>
        <w:tc>
          <w:tcPr>
            <w:tcW w:w="1696" w:type="dxa"/>
            <w:shd w:val="clear" w:color="auto" w:fill="C0311A"/>
          </w:tcPr>
          <w:p w14:paraId="0BEEE3B5" w14:textId="7095C1B8" w:rsidR="00CA7F75" w:rsidRPr="008E2508" w:rsidRDefault="7DCEF4FC" w:rsidP="7DCEF4FC">
            <w:pPr>
              <w:spacing w:before="0" w:after="120" w:line="276" w:lineRule="auto"/>
              <w:ind w:left="0" w:right="0"/>
              <w:jc w:val="both"/>
              <w:rPr>
                <w:rFonts w:eastAsiaTheme="minorEastAsia" w:cs="Arial"/>
                <w:color w:val="FFFFFF" w:themeColor="background1"/>
              </w:rPr>
            </w:pPr>
            <w:r w:rsidRPr="7DCEF4FC">
              <w:rPr>
                <w:rFonts w:eastAsiaTheme="minorEastAsia" w:cs="Arial"/>
                <w:color w:val="FFFFFF" w:themeColor="background1"/>
              </w:rPr>
              <w:t>Tribunal band</w:t>
            </w:r>
          </w:p>
        </w:tc>
        <w:tc>
          <w:tcPr>
            <w:tcW w:w="3495" w:type="dxa"/>
            <w:shd w:val="clear" w:color="auto" w:fill="C0311A"/>
          </w:tcPr>
          <w:p w14:paraId="66A23E77" w14:textId="77777777" w:rsidR="00CA7F75" w:rsidRPr="008E2508" w:rsidRDefault="7DCEF4FC" w:rsidP="7DCEF4FC">
            <w:pPr>
              <w:spacing w:before="0" w:after="120" w:line="276" w:lineRule="auto"/>
              <w:jc w:val="both"/>
              <w:rPr>
                <w:rFonts w:eastAsiaTheme="minorEastAsia" w:cs="Arial"/>
                <w:color w:val="FFFFFF" w:themeColor="background1"/>
              </w:rPr>
            </w:pPr>
            <w:r w:rsidRPr="7DCEF4FC">
              <w:rPr>
                <w:rFonts w:eastAsiaTheme="minorEastAsia" w:cs="Arial"/>
                <w:color w:val="FFFFFF" w:themeColor="background1"/>
              </w:rPr>
              <w:t>Tender threshold</w:t>
            </w:r>
          </w:p>
        </w:tc>
        <w:tc>
          <w:tcPr>
            <w:tcW w:w="3825" w:type="dxa"/>
            <w:shd w:val="clear" w:color="auto" w:fill="C0311A"/>
          </w:tcPr>
          <w:p w14:paraId="79433F68" w14:textId="77777777" w:rsidR="00CA7F75" w:rsidRPr="008E2508" w:rsidRDefault="7DCEF4FC" w:rsidP="7DCEF4FC">
            <w:pPr>
              <w:spacing w:before="0" w:after="120" w:line="276" w:lineRule="auto"/>
              <w:ind w:left="0" w:right="0"/>
              <w:jc w:val="both"/>
              <w:rPr>
                <w:rFonts w:eastAsiaTheme="minorEastAsia" w:cs="Arial"/>
                <w:color w:val="FFFFFF" w:themeColor="background1"/>
              </w:rPr>
            </w:pPr>
            <w:r w:rsidRPr="7DCEF4FC">
              <w:rPr>
                <w:rFonts w:eastAsiaTheme="minorEastAsia" w:cs="Arial"/>
                <w:color w:val="FFFFFF" w:themeColor="background1"/>
              </w:rPr>
              <w:t>Example local governments</w:t>
            </w:r>
          </w:p>
        </w:tc>
      </w:tr>
      <w:tr w:rsidR="00CA7F75" w:rsidRPr="00FC154F" w14:paraId="26E95FC2" w14:textId="77777777" w:rsidTr="7DCEF4FC">
        <w:trPr>
          <w:trHeight w:val="481"/>
        </w:trPr>
        <w:tc>
          <w:tcPr>
            <w:tcW w:w="1696" w:type="dxa"/>
          </w:tcPr>
          <w:p w14:paraId="0E2A96EC" w14:textId="77777777" w:rsidR="00CA7F75" w:rsidRPr="008E2508" w:rsidRDefault="7DCEF4FC" w:rsidP="7DCEF4FC">
            <w:pPr>
              <w:spacing w:before="0" w:after="120" w:line="276" w:lineRule="auto"/>
              <w:ind w:left="0" w:right="0"/>
              <w:jc w:val="both"/>
              <w:rPr>
                <w:rFonts w:eastAsiaTheme="minorEastAsia" w:cs="Arial"/>
              </w:rPr>
            </w:pPr>
            <w:r w:rsidRPr="7DCEF4FC">
              <w:rPr>
                <w:rFonts w:eastAsiaTheme="minorEastAsia" w:cs="Arial"/>
              </w:rPr>
              <w:t>1</w:t>
            </w:r>
          </w:p>
        </w:tc>
        <w:tc>
          <w:tcPr>
            <w:tcW w:w="3495" w:type="dxa"/>
          </w:tcPr>
          <w:p w14:paraId="12EC90F0" w14:textId="77777777" w:rsidR="00CA7F75" w:rsidRPr="008E2508" w:rsidRDefault="7DCEF4FC" w:rsidP="7DCEF4FC">
            <w:pPr>
              <w:spacing w:before="0" w:after="120" w:line="276" w:lineRule="auto"/>
              <w:jc w:val="both"/>
              <w:rPr>
                <w:rFonts w:eastAsiaTheme="minorEastAsia" w:cs="Arial"/>
              </w:rPr>
            </w:pPr>
            <w:r w:rsidRPr="7DCEF4FC">
              <w:rPr>
                <w:rFonts w:eastAsiaTheme="minorEastAsia" w:cs="Arial"/>
              </w:rPr>
              <w:t>$250,000</w:t>
            </w:r>
          </w:p>
        </w:tc>
        <w:tc>
          <w:tcPr>
            <w:tcW w:w="3825" w:type="dxa"/>
          </w:tcPr>
          <w:p w14:paraId="1880F951" w14:textId="3AADDACB" w:rsidR="00CA7F75" w:rsidRPr="008E2508" w:rsidRDefault="7DCEF4FC" w:rsidP="7DCEF4FC">
            <w:pPr>
              <w:spacing w:before="0" w:after="120" w:line="276" w:lineRule="auto"/>
              <w:ind w:left="0" w:right="0"/>
              <w:rPr>
                <w:rFonts w:eastAsiaTheme="minorEastAsia" w:cs="Arial"/>
              </w:rPr>
            </w:pPr>
            <w:r w:rsidRPr="7DCEF4FC">
              <w:rPr>
                <w:rFonts w:eastAsiaTheme="minorEastAsia" w:cs="Arial"/>
              </w:rPr>
              <w:t>Bayswater, Bunbury, Gosnells, Kalgoorlie-Boulder, Port Hedland, Swan</w:t>
            </w:r>
          </w:p>
        </w:tc>
      </w:tr>
      <w:tr w:rsidR="00CA7F75" w:rsidRPr="00FC154F" w14:paraId="37342826" w14:textId="77777777" w:rsidTr="7DCEF4FC">
        <w:trPr>
          <w:trHeight w:val="481"/>
        </w:trPr>
        <w:tc>
          <w:tcPr>
            <w:tcW w:w="1696" w:type="dxa"/>
          </w:tcPr>
          <w:p w14:paraId="620B6C51" w14:textId="77777777" w:rsidR="00CA7F75" w:rsidRPr="008E2508" w:rsidRDefault="7DCEF4FC" w:rsidP="7DCEF4FC">
            <w:pPr>
              <w:spacing w:before="0" w:after="120" w:line="276" w:lineRule="auto"/>
              <w:ind w:left="0" w:right="0"/>
              <w:jc w:val="both"/>
              <w:rPr>
                <w:rFonts w:eastAsiaTheme="minorEastAsia" w:cs="Arial"/>
              </w:rPr>
            </w:pPr>
            <w:r w:rsidRPr="7DCEF4FC">
              <w:rPr>
                <w:rFonts w:eastAsiaTheme="minorEastAsia" w:cs="Arial"/>
              </w:rPr>
              <w:t>2</w:t>
            </w:r>
          </w:p>
        </w:tc>
        <w:tc>
          <w:tcPr>
            <w:tcW w:w="3495" w:type="dxa"/>
          </w:tcPr>
          <w:p w14:paraId="6B474D45" w14:textId="77777777" w:rsidR="00CA7F75" w:rsidRPr="008E2508" w:rsidRDefault="7DCEF4FC" w:rsidP="7DCEF4FC">
            <w:pPr>
              <w:spacing w:before="0" w:after="120" w:line="276" w:lineRule="auto"/>
              <w:jc w:val="both"/>
              <w:rPr>
                <w:rFonts w:eastAsiaTheme="minorEastAsia" w:cs="Arial"/>
              </w:rPr>
            </w:pPr>
            <w:r w:rsidRPr="7DCEF4FC">
              <w:rPr>
                <w:rFonts w:eastAsiaTheme="minorEastAsia" w:cs="Arial"/>
              </w:rPr>
              <w:t>$200,000</w:t>
            </w:r>
          </w:p>
        </w:tc>
        <w:tc>
          <w:tcPr>
            <w:tcW w:w="3825" w:type="dxa"/>
          </w:tcPr>
          <w:p w14:paraId="296C34D9" w14:textId="77777777" w:rsidR="00CA7F75" w:rsidRPr="008E2508" w:rsidRDefault="7DCEF4FC" w:rsidP="7DCEF4FC">
            <w:pPr>
              <w:spacing w:before="0" w:after="120" w:line="276" w:lineRule="auto"/>
              <w:ind w:left="0" w:right="0"/>
              <w:rPr>
                <w:rFonts w:eastAsiaTheme="minorEastAsia" w:cs="Arial"/>
              </w:rPr>
            </w:pPr>
            <w:r w:rsidRPr="7DCEF4FC">
              <w:rPr>
                <w:rFonts w:eastAsiaTheme="minorEastAsia" w:cs="Arial"/>
              </w:rPr>
              <w:t>Esperance, Harvey, Northam, Nedlands, Vincent, South Perth, Subiaco</w:t>
            </w:r>
          </w:p>
        </w:tc>
      </w:tr>
      <w:tr w:rsidR="00CA7F75" w:rsidRPr="00FC154F" w14:paraId="59E8207E" w14:textId="77777777" w:rsidTr="7DCEF4FC">
        <w:trPr>
          <w:trHeight w:val="481"/>
        </w:trPr>
        <w:tc>
          <w:tcPr>
            <w:tcW w:w="1696" w:type="dxa"/>
          </w:tcPr>
          <w:p w14:paraId="66F4FFEF" w14:textId="77777777" w:rsidR="00CA7F75" w:rsidRPr="008E2508" w:rsidRDefault="7DCEF4FC" w:rsidP="7DCEF4FC">
            <w:pPr>
              <w:spacing w:before="0" w:after="120" w:line="276" w:lineRule="auto"/>
              <w:ind w:left="0" w:right="0"/>
              <w:jc w:val="both"/>
              <w:rPr>
                <w:rFonts w:eastAsiaTheme="minorEastAsia" w:cs="Arial"/>
              </w:rPr>
            </w:pPr>
            <w:r w:rsidRPr="7DCEF4FC">
              <w:rPr>
                <w:rFonts w:eastAsiaTheme="minorEastAsia" w:cs="Arial"/>
              </w:rPr>
              <w:t>3</w:t>
            </w:r>
          </w:p>
        </w:tc>
        <w:tc>
          <w:tcPr>
            <w:tcW w:w="3495" w:type="dxa"/>
          </w:tcPr>
          <w:p w14:paraId="600B74A0" w14:textId="77777777" w:rsidR="00CA7F75" w:rsidRPr="008E2508" w:rsidRDefault="7DCEF4FC" w:rsidP="7DCEF4FC">
            <w:pPr>
              <w:spacing w:before="0" w:after="120" w:line="276" w:lineRule="auto"/>
              <w:jc w:val="both"/>
              <w:rPr>
                <w:rFonts w:eastAsiaTheme="minorEastAsia" w:cs="Arial"/>
              </w:rPr>
            </w:pPr>
            <w:r w:rsidRPr="7DCEF4FC">
              <w:rPr>
                <w:rFonts w:eastAsiaTheme="minorEastAsia" w:cs="Arial"/>
              </w:rPr>
              <w:t>$150,000</w:t>
            </w:r>
          </w:p>
        </w:tc>
        <w:tc>
          <w:tcPr>
            <w:tcW w:w="3825" w:type="dxa"/>
          </w:tcPr>
          <w:p w14:paraId="3286012E" w14:textId="77777777" w:rsidR="00CA7F75" w:rsidRPr="008E2508" w:rsidRDefault="7DCEF4FC" w:rsidP="7DCEF4FC">
            <w:pPr>
              <w:spacing w:before="0" w:after="120" w:line="276" w:lineRule="auto"/>
              <w:ind w:left="0" w:right="0"/>
              <w:rPr>
                <w:rFonts w:eastAsiaTheme="minorEastAsia" w:cs="Arial"/>
              </w:rPr>
            </w:pPr>
            <w:r w:rsidRPr="7DCEF4FC">
              <w:rPr>
                <w:rFonts w:eastAsiaTheme="minorEastAsia" w:cs="Arial"/>
              </w:rPr>
              <w:t xml:space="preserve">Capel, Claremont, East Fremantle, Gingin, Ravensthorpe, </w:t>
            </w:r>
            <w:proofErr w:type="spellStart"/>
            <w:r w:rsidRPr="7DCEF4FC">
              <w:rPr>
                <w:rFonts w:eastAsiaTheme="minorEastAsia" w:cs="Arial"/>
              </w:rPr>
              <w:t>Yilgarn</w:t>
            </w:r>
            <w:proofErr w:type="spellEnd"/>
          </w:p>
        </w:tc>
      </w:tr>
      <w:tr w:rsidR="00CA7F75" w:rsidRPr="00FC154F" w14:paraId="0F800E2B" w14:textId="77777777" w:rsidTr="7DCEF4FC">
        <w:trPr>
          <w:trHeight w:val="481"/>
        </w:trPr>
        <w:tc>
          <w:tcPr>
            <w:tcW w:w="1696" w:type="dxa"/>
          </w:tcPr>
          <w:p w14:paraId="3933795C" w14:textId="77777777" w:rsidR="00CA7F75" w:rsidRPr="008E2508" w:rsidRDefault="7DCEF4FC" w:rsidP="7DCEF4FC">
            <w:pPr>
              <w:spacing w:before="0" w:after="120" w:line="276" w:lineRule="auto"/>
              <w:ind w:left="0" w:right="0"/>
              <w:jc w:val="both"/>
              <w:rPr>
                <w:rFonts w:eastAsiaTheme="minorEastAsia" w:cs="Arial"/>
              </w:rPr>
            </w:pPr>
            <w:r w:rsidRPr="7DCEF4FC">
              <w:rPr>
                <w:rFonts w:eastAsiaTheme="minorEastAsia" w:cs="Arial"/>
              </w:rPr>
              <w:t>4</w:t>
            </w:r>
          </w:p>
        </w:tc>
        <w:tc>
          <w:tcPr>
            <w:tcW w:w="3495" w:type="dxa"/>
          </w:tcPr>
          <w:p w14:paraId="06C3945E" w14:textId="77777777" w:rsidR="00CA7F75" w:rsidRPr="008E2508" w:rsidRDefault="7DCEF4FC" w:rsidP="7DCEF4FC">
            <w:pPr>
              <w:spacing w:before="0" w:after="120" w:line="276" w:lineRule="auto"/>
              <w:jc w:val="both"/>
              <w:rPr>
                <w:rFonts w:eastAsiaTheme="minorEastAsia" w:cs="Arial"/>
              </w:rPr>
            </w:pPr>
            <w:r w:rsidRPr="7DCEF4FC">
              <w:rPr>
                <w:rFonts w:eastAsiaTheme="minorEastAsia" w:cs="Arial"/>
              </w:rPr>
              <w:t>$100,000</w:t>
            </w:r>
          </w:p>
        </w:tc>
        <w:tc>
          <w:tcPr>
            <w:tcW w:w="3825" w:type="dxa"/>
          </w:tcPr>
          <w:p w14:paraId="181F9ABD" w14:textId="77777777" w:rsidR="00CA7F75" w:rsidRPr="008E2508" w:rsidRDefault="7DCEF4FC" w:rsidP="7DCEF4FC">
            <w:pPr>
              <w:spacing w:before="0" w:after="120" w:line="276" w:lineRule="auto"/>
              <w:ind w:left="0" w:right="0"/>
              <w:rPr>
                <w:rFonts w:eastAsiaTheme="minorEastAsia" w:cs="Arial"/>
              </w:rPr>
            </w:pPr>
            <w:r w:rsidRPr="7DCEF4FC">
              <w:rPr>
                <w:rFonts w:eastAsiaTheme="minorEastAsia" w:cs="Arial"/>
              </w:rPr>
              <w:t>Bruce Rock, Cue, Dundas, Peppermint Grove, Yalgoo, Westonia</w:t>
            </w:r>
          </w:p>
        </w:tc>
      </w:tr>
    </w:tbl>
    <w:p w14:paraId="3EAC425E" w14:textId="77777777" w:rsidR="00CA7F75" w:rsidRPr="00FC154F" w:rsidRDefault="00CA7F75" w:rsidP="00CA7F75">
      <w:pPr>
        <w:spacing w:after="120" w:line="276" w:lineRule="auto"/>
        <w:jc w:val="both"/>
        <w:rPr>
          <w:rFonts w:ascii="Arial" w:eastAsiaTheme="minorEastAsia" w:hAnsi="Arial" w:cs="Arial"/>
        </w:rPr>
      </w:pPr>
    </w:p>
    <w:p w14:paraId="717AD335" w14:textId="77777777" w:rsidR="00CA7F75" w:rsidRPr="003D1D96" w:rsidRDefault="7DCEF4FC" w:rsidP="7DCEF4FC">
      <w:pPr>
        <w:keepNext/>
        <w:keepLines/>
        <w:spacing w:after="120" w:line="276" w:lineRule="auto"/>
        <w:jc w:val="both"/>
        <w:rPr>
          <w:rFonts w:ascii="Arial" w:hAnsi="Arial" w:cs="Arial"/>
          <w:b/>
          <w:bCs/>
          <w:color w:val="C00000"/>
          <w:sz w:val="24"/>
          <w:szCs w:val="24"/>
        </w:rPr>
      </w:pPr>
      <w:r w:rsidRPr="7DCEF4FC">
        <w:rPr>
          <w:rFonts w:ascii="Arial" w:hAnsi="Arial" w:cs="Arial"/>
          <w:b/>
          <w:bCs/>
          <w:color w:val="C00000"/>
          <w:sz w:val="24"/>
          <w:szCs w:val="24"/>
        </w:rPr>
        <w:t xml:space="preserve">Assigned band based on risk assessment </w:t>
      </w:r>
    </w:p>
    <w:p w14:paraId="100587E6" w14:textId="009BFB2B" w:rsidR="00CA7F75" w:rsidRPr="003D1D96" w:rsidRDefault="7DCEF4FC" w:rsidP="7DCEF4FC">
      <w:pPr>
        <w:keepNext/>
        <w:keepLines/>
        <w:spacing w:after="120" w:line="276" w:lineRule="auto"/>
        <w:jc w:val="both"/>
        <w:rPr>
          <w:rFonts w:ascii="Arial" w:hAnsi="Arial" w:cs="Arial"/>
          <w:sz w:val="24"/>
          <w:szCs w:val="24"/>
        </w:rPr>
      </w:pPr>
      <w:r w:rsidRPr="7DCEF4FC">
        <w:rPr>
          <w:rFonts w:ascii="Arial" w:hAnsi="Arial" w:cs="Arial"/>
          <w:sz w:val="24"/>
          <w:szCs w:val="24"/>
        </w:rPr>
        <w:t xml:space="preserve">Assigning a local government’s tender threshold according to risk may present a means to reward good governance. Currently, local governments are assigned a risk category by the Department annually based on their financial performance and general governance. By expanding and diversifying the factors </w:t>
      </w:r>
      <w:proofErr w:type="gramStart"/>
      <w:r w:rsidRPr="7DCEF4FC">
        <w:rPr>
          <w:rFonts w:ascii="Arial" w:hAnsi="Arial" w:cs="Arial"/>
          <w:sz w:val="24"/>
          <w:szCs w:val="24"/>
        </w:rPr>
        <w:t>taken into account</w:t>
      </w:r>
      <w:proofErr w:type="gramEnd"/>
      <w:r w:rsidRPr="7DCEF4FC">
        <w:rPr>
          <w:rFonts w:ascii="Arial" w:hAnsi="Arial" w:cs="Arial"/>
          <w:sz w:val="24"/>
          <w:szCs w:val="24"/>
        </w:rPr>
        <w:t>, it may be possible to scale the tender thresholds to meet the diverse capacity of local government. This method, known as graduated compliance, would be the most sophisticated of the tiered approaches but would also be the most complex to administer and could result in substantial changes year over year.</w:t>
      </w:r>
    </w:p>
    <w:p w14:paraId="3F3B4EE8" w14:textId="77777777" w:rsidR="00CA7F75" w:rsidRPr="003D1D96" w:rsidRDefault="7DCEF4FC" w:rsidP="7DCEF4FC">
      <w:pPr>
        <w:spacing w:after="120" w:line="276" w:lineRule="auto"/>
        <w:jc w:val="both"/>
        <w:rPr>
          <w:rFonts w:ascii="Arial" w:hAnsi="Arial" w:cs="Arial"/>
          <w:b/>
          <w:bCs/>
          <w:color w:val="C00000"/>
          <w:sz w:val="24"/>
          <w:szCs w:val="24"/>
        </w:rPr>
      </w:pPr>
      <w:r w:rsidRPr="7DCEF4FC">
        <w:rPr>
          <w:rFonts w:ascii="Arial" w:hAnsi="Arial" w:cs="Arial"/>
          <w:b/>
          <w:bCs/>
          <w:color w:val="C00000"/>
          <w:sz w:val="24"/>
          <w:szCs w:val="24"/>
        </w:rPr>
        <w:t xml:space="preserve">Reform to tender exemptions  </w:t>
      </w:r>
    </w:p>
    <w:p w14:paraId="614EF7A4" w14:textId="77777777" w:rsidR="00CA7F75" w:rsidRPr="003D1D96" w:rsidRDefault="7DCEF4FC" w:rsidP="7DCEF4FC">
      <w:pPr>
        <w:spacing w:after="120" w:line="276" w:lineRule="auto"/>
        <w:jc w:val="both"/>
        <w:rPr>
          <w:rFonts w:ascii="Arial" w:hAnsi="Arial" w:cs="Arial"/>
          <w:sz w:val="24"/>
          <w:szCs w:val="24"/>
        </w:rPr>
      </w:pPr>
      <w:r w:rsidRPr="7DCEF4FC">
        <w:rPr>
          <w:rFonts w:ascii="Arial" w:hAnsi="Arial" w:cs="Arial"/>
          <w:sz w:val="24"/>
          <w:szCs w:val="24"/>
        </w:rPr>
        <w:t>Exemptions for public advertising of tenders reflect that in some circumstances the need to efficiently supply the goods outweighs the benefits of an open tender process.  Exemptions also exist based on the notion that certain contracts can be filled using alternative tender processes that afford appropriate levels of due diligence.</w:t>
      </w:r>
    </w:p>
    <w:p w14:paraId="2D7F34DB" w14:textId="4433A0C6" w:rsidR="00CA7F75" w:rsidRPr="003D1D96" w:rsidRDefault="7DCEF4FC" w:rsidP="7DCEF4FC">
      <w:pPr>
        <w:spacing w:after="120" w:line="276" w:lineRule="auto"/>
        <w:jc w:val="both"/>
        <w:rPr>
          <w:rFonts w:ascii="Arial" w:hAnsi="Arial" w:cs="Arial"/>
          <w:sz w:val="24"/>
          <w:szCs w:val="24"/>
        </w:rPr>
      </w:pPr>
      <w:r w:rsidRPr="7DCEF4FC">
        <w:rPr>
          <w:rFonts w:ascii="Arial" w:hAnsi="Arial" w:cs="Arial"/>
          <w:sz w:val="24"/>
          <w:szCs w:val="24"/>
        </w:rPr>
        <w:t>For example, in much of the State securing suppliers to provide goods and services can be a challenge. Regulation 11(f) provides a broad exemption from advertising tenders in circumstances where, for any reason, the local government has good reason to believe that it is unlikely that there is more than one potential supplier. Other exemptions provide exclusions for goods and services purchased through WALGA’s preferred supplier program and for specific products like petrol or oil.</w:t>
      </w:r>
    </w:p>
    <w:p w14:paraId="041B8D14" w14:textId="24CD2DF9" w:rsidR="00CA7F75" w:rsidRPr="003D1D96" w:rsidRDefault="7DCEF4FC" w:rsidP="7DCEF4FC">
      <w:pPr>
        <w:spacing w:after="120" w:line="276" w:lineRule="auto"/>
        <w:jc w:val="both"/>
        <w:rPr>
          <w:rFonts w:ascii="Arial" w:hAnsi="Arial" w:cs="Arial"/>
          <w:sz w:val="24"/>
          <w:szCs w:val="24"/>
        </w:rPr>
      </w:pPr>
      <w:r w:rsidRPr="7DCEF4FC">
        <w:rPr>
          <w:rFonts w:ascii="Arial" w:hAnsi="Arial" w:cs="Arial"/>
          <w:sz w:val="24"/>
          <w:szCs w:val="24"/>
        </w:rPr>
        <w:t xml:space="preserve">Some local governments have suggested that the rules concerning exemptions need to be clarified in the Act. They argue that the current rules concerning the definition of </w:t>
      </w:r>
      <w:r w:rsidRPr="7DCEF4FC">
        <w:rPr>
          <w:rFonts w:ascii="Arial" w:hAnsi="Arial" w:cs="Arial"/>
          <w:sz w:val="24"/>
          <w:szCs w:val="24"/>
        </w:rPr>
        <w:lastRenderedPageBreak/>
        <w:t xml:space="preserve">a “contract” can create confusion and lead to varying interpretations. For example, on occasion local governments have sought clarification about whether the reoccurring supply of services such as repairs to a sporting facility’s lights or services with indefinite cost such as legal fees should be regarded as a single contract or multiple contracts over a period for the purposes of the threshold </w:t>
      </w:r>
    </w:p>
    <w:p w14:paraId="2FFFF1BD" w14:textId="77777777" w:rsidR="00CA7F75" w:rsidRPr="003D1D96" w:rsidRDefault="7DCEF4FC" w:rsidP="7DCEF4FC">
      <w:pPr>
        <w:spacing w:after="120" w:line="276" w:lineRule="auto"/>
        <w:jc w:val="both"/>
        <w:rPr>
          <w:rFonts w:ascii="Arial" w:hAnsi="Arial" w:cs="Arial"/>
          <w:b/>
          <w:bCs/>
          <w:color w:val="C00000"/>
          <w:sz w:val="24"/>
          <w:szCs w:val="24"/>
        </w:rPr>
      </w:pPr>
      <w:r w:rsidRPr="7DCEF4FC">
        <w:rPr>
          <w:rFonts w:ascii="Arial" w:hAnsi="Arial" w:cs="Arial"/>
          <w:b/>
          <w:bCs/>
          <w:color w:val="C00000"/>
          <w:sz w:val="24"/>
          <w:szCs w:val="24"/>
        </w:rPr>
        <w:t xml:space="preserve">Criteria for assessing advertised tenders </w:t>
      </w:r>
    </w:p>
    <w:p w14:paraId="08E99F5A" w14:textId="20877791" w:rsidR="00CA7F75" w:rsidRPr="003D1D96" w:rsidRDefault="7DCEF4FC" w:rsidP="7DCEF4FC">
      <w:pPr>
        <w:spacing w:after="120" w:line="276" w:lineRule="auto"/>
        <w:jc w:val="both"/>
        <w:rPr>
          <w:rFonts w:ascii="Arial" w:hAnsi="Arial" w:cs="Arial"/>
          <w:sz w:val="24"/>
          <w:szCs w:val="24"/>
        </w:rPr>
      </w:pPr>
      <w:r w:rsidRPr="7DCEF4FC">
        <w:rPr>
          <w:rFonts w:ascii="Arial" w:hAnsi="Arial" w:cs="Arial"/>
          <w:sz w:val="24"/>
          <w:szCs w:val="24"/>
        </w:rPr>
        <w:t>Local governments are provided with considerable autonomy in selecting the criteria to be used for assessing advertised tenders. Regulation 18(4) requires that local governments employ a written evaluation to determine the tender that satisfies the criteria and is the most advantageous to the local government to accept.</w:t>
      </w:r>
    </w:p>
    <w:p w14:paraId="0593024F" w14:textId="37A1E53E" w:rsidR="00CA7F75" w:rsidRPr="003D1D96" w:rsidRDefault="7DCEF4FC" w:rsidP="7DCEF4FC">
      <w:pPr>
        <w:spacing w:after="120" w:line="276" w:lineRule="auto"/>
        <w:jc w:val="both"/>
        <w:rPr>
          <w:rFonts w:ascii="Arial" w:hAnsi="Arial" w:cs="Arial"/>
          <w:sz w:val="24"/>
          <w:szCs w:val="24"/>
        </w:rPr>
      </w:pPr>
      <w:r w:rsidRPr="7DCEF4FC">
        <w:rPr>
          <w:rFonts w:ascii="Arial" w:hAnsi="Arial" w:cs="Arial"/>
          <w:sz w:val="24"/>
          <w:szCs w:val="24"/>
        </w:rPr>
        <w:t>State Government agencies are required to adhere to the SSC’s policies which include that a public authority must ensure that its procurement of goods and services achieves the best value for money outcome and are aligned with government policies, objectives and strategies and that it actively supports government initiatives.</w:t>
      </w:r>
    </w:p>
    <w:p w14:paraId="482AE8C9" w14:textId="1F512ED3" w:rsidR="003D1D96" w:rsidRPr="008E2508" w:rsidRDefault="7DCEF4FC" w:rsidP="7DCEF4FC">
      <w:pPr>
        <w:spacing w:after="120" w:line="276" w:lineRule="auto"/>
        <w:jc w:val="both"/>
        <w:rPr>
          <w:rFonts w:ascii="Arial" w:hAnsi="Arial" w:cs="Arial"/>
          <w:sz w:val="24"/>
          <w:szCs w:val="24"/>
        </w:rPr>
      </w:pPr>
      <w:r w:rsidRPr="7DCEF4FC">
        <w:rPr>
          <w:rFonts w:ascii="Arial" w:hAnsi="Arial" w:cs="Arial"/>
          <w:sz w:val="24"/>
          <w:szCs w:val="24"/>
        </w:rPr>
        <w:t>Reforms to the regulations could provide for greater clarity of the criteria that local governments must use globally for assessing tenders. In line with SSC policies, this criterion could include value for money and acting in the public interest.</w:t>
      </w:r>
    </w:p>
    <w:p w14:paraId="01208457" w14:textId="620A8205" w:rsidR="00CA7F75" w:rsidRPr="003D1D96" w:rsidRDefault="7DCEF4FC" w:rsidP="7DCEF4FC">
      <w:pPr>
        <w:spacing w:after="120" w:line="276" w:lineRule="auto"/>
        <w:jc w:val="both"/>
        <w:rPr>
          <w:rFonts w:ascii="Arial" w:hAnsi="Arial" w:cs="Arial"/>
          <w:b/>
          <w:bCs/>
          <w:color w:val="C00000"/>
          <w:sz w:val="24"/>
          <w:szCs w:val="24"/>
        </w:rPr>
      </w:pPr>
      <w:r w:rsidRPr="7DCEF4FC">
        <w:rPr>
          <w:rFonts w:ascii="Arial" w:hAnsi="Arial" w:cs="Arial"/>
          <w:b/>
          <w:bCs/>
          <w:color w:val="C00000"/>
          <w:sz w:val="24"/>
          <w:szCs w:val="24"/>
        </w:rPr>
        <w:t>Consequences of non-compliance</w:t>
      </w:r>
    </w:p>
    <w:p w14:paraId="5781A47E" w14:textId="0D36E76C" w:rsidR="00CA7F75" w:rsidRPr="003D1D96" w:rsidRDefault="7DCEF4FC" w:rsidP="7DCEF4FC">
      <w:pPr>
        <w:spacing w:after="120" w:line="276" w:lineRule="auto"/>
        <w:jc w:val="both"/>
        <w:rPr>
          <w:rFonts w:ascii="Arial" w:hAnsi="Arial" w:cs="Arial"/>
          <w:sz w:val="24"/>
          <w:szCs w:val="24"/>
        </w:rPr>
      </w:pPr>
      <w:r w:rsidRPr="7DCEF4FC">
        <w:rPr>
          <w:rFonts w:ascii="Arial" w:hAnsi="Arial" w:cs="Arial"/>
          <w:sz w:val="24"/>
          <w:szCs w:val="24"/>
        </w:rPr>
        <w:t>While the Act establishes tendering rules, the legislation does not establish consequences for noncompliance. Historically, if there is insufficient evidence of corruption, issues of non-compliance with tendering rules has been viewed as a behaviour and conduct issue for local governments to resolve. However, resolving matters at a local government level may not be practicable or appropriate if the Chief Executive Officer as the employing authority is responsible for the non-compliance.</w:t>
      </w:r>
    </w:p>
    <w:p w14:paraId="23905A08" w14:textId="4208D075" w:rsidR="00CA7F75" w:rsidRPr="003D1D96" w:rsidRDefault="7DCEF4FC" w:rsidP="7DCEF4FC">
      <w:pPr>
        <w:spacing w:after="120" w:line="276" w:lineRule="auto"/>
        <w:jc w:val="both"/>
        <w:rPr>
          <w:rFonts w:ascii="Arial" w:hAnsi="Arial" w:cs="Arial"/>
          <w:sz w:val="24"/>
          <w:szCs w:val="24"/>
        </w:rPr>
      </w:pPr>
      <w:bookmarkStart w:id="14" w:name="_Hlk518391218"/>
      <w:r w:rsidRPr="7DCEF4FC">
        <w:rPr>
          <w:rFonts w:ascii="Arial" w:hAnsi="Arial" w:cs="Arial"/>
          <w:sz w:val="24"/>
          <w:szCs w:val="24"/>
        </w:rPr>
        <w:t xml:space="preserve">For State Government agencies, the </w:t>
      </w:r>
      <w:r w:rsidRPr="7DCEF4FC">
        <w:rPr>
          <w:rFonts w:ascii="Arial" w:hAnsi="Arial" w:cs="Arial"/>
          <w:i/>
          <w:iCs/>
          <w:sz w:val="24"/>
          <w:szCs w:val="24"/>
        </w:rPr>
        <w:t xml:space="preserve">State Supply Commission Regulations 1991 </w:t>
      </w:r>
      <w:r w:rsidRPr="7DCEF4FC">
        <w:rPr>
          <w:rFonts w:ascii="Arial" w:hAnsi="Arial" w:cs="Arial"/>
          <w:sz w:val="24"/>
          <w:szCs w:val="24"/>
        </w:rPr>
        <w:t>sets out graduated consequences for non-compliance. Under the regulations the SSC may do the following:</w:t>
      </w:r>
    </w:p>
    <w:p w14:paraId="73DAA531" w14:textId="77777777" w:rsidR="00CA7F75" w:rsidRPr="003D1D96" w:rsidRDefault="7DCEF4FC" w:rsidP="7DCEF4FC">
      <w:pPr>
        <w:pStyle w:val="ListParagraph"/>
        <w:numPr>
          <w:ilvl w:val="0"/>
          <w:numId w:val="7"/>
        </w:numPr>
        <w:spacing w:after="120" w:line="276" w:lineRule="auto"/>
        <w:jc w:val="both"/>
        <w:rPr>
          <w:rFonts w:ascii="Arial" w:hAnsi="Arial" w:cs="Arial"/>
          <w:sz w:val="24"/>
          <w:szCs w:val="24"/>
        </w:rPr>
      </w:pPr>
      <w:r w:rsidRPr="7DCEF4FC">
        <w:rPr>
          <w:rFonts w:ascii="Arial" w:hAnsi="Arial" w:cs="Arial"/>
          <w:sz w:val="24"/>
          <w:szCs w:val="24"/>
        </w:rPr>
        <w:t>Give notice of the non-compliance to the agency asking that the matter be addressed within a prescribed period;</w:t>
      </w:r>
    </w:p>
    <w:p w14:paraId="26004329" w14:textId="77777777" w:rsidR="00CA7F75" w:rsidRPr="003D1D96" w:rsidRDefault="7DCEF4FC" w:rsidP="7DCEF4FC">
      <w:pPr>
        <w:pStyle w:val="ListParagraph"/>
        <w:numPr>
          <w:ilvl w:val="0"/>
          <w:numId w:val="7"/>
        </w:numPr>
        <w:spacing w:after="120" w:line="276" w:lineRule="auto"/>
        <w:jc w:val="both"/>
        <w:rPr>
          <w:rFonts w:ascii="Arial" w:hAnsi="Arial" w:cs="Arial"/>
          <w:sz w:val="24"/>
          <w:szCs w:val="24"/>
        </w:rPr>
      </w:pPr>
      <w:r w:rsidRPr="7DCEF4FC">
        <w:rPr>
          <w:rFonts w:ascii="Arial" w:hAnsi="Arial" w:cs="Arial"/>
          <w:sz w:val="24"/>
          <w:szCs w:val="24"/>
        </w:rPr>
        <w:t>Require that an agency attends a meeting with the SSC;</w:t>
      </w:r>
    </w:p>
    <w:p w14:paraId="731D4732" w14:textId="77777777" w:rsidR="00CA7F75" w:rsidRPr="003D1D96" w:rsidRDefault="7DCEF4FC" w:rsidP="7DCEF4FC">
      <w:pPr>
        <w:pStyle w:val="ListParagraph"/>
        <w:numPr>
          <w:ilvl w:val="0"/>
          <w:numId w:val="7"/>
        </w:numPr>
        <w:spacing w:after="120" w:line="276" w:lineRule="auto"/>
        <w:jc w:val="both"/>
        <w:rPr>
          <w:rFonts w:ascii="Arial" w:hAnsi="Arial" w:cs="Arial"/>
          <w:sz w:val="24"/>
          <w:szCs w:val="24"/>
        </w:rPr>
      </w:pPr>
      <w:r w:rsidRPr="7DCEF4FC">
        <w:rPr>
          <w:rFonts w:ascii="Arial" w:hAnsi="Arial" w:cs="Arial"/>
          <w:sz w:val="24"/>
          <w:szCs w:val="24"/>
        </w:rPr>
        <w:t>Appoint a person to supervise procurement at the cost of the agency;</w:t>
      </w:r>
    </w:p>
    <w:p w14:paraId="4541380F" w14:textId="04CC3A44" w:rsidR="00CA7F75" w:rsidRPr="003D1D96" w:rsidRDefault="7DCEF4FC" w:rsidP="7DCEF4FC">
      <w:pPr>
        <w:pStyle w:val="ListParagraph"/>
        <w:numPr>
          <w:ilvl w:val="0"/>
          <w:numId w:val="7"/>
        </w:numPr>
        <w:spacing w:after="120" w:line="276" w:lineRule="auto"/>
        <w:jc w:val="both"/>
        <w:rPr>
          <w:rFonts w:ascii="Arial" w:hAnsi="Arial" w:cs="Arial"/>
          <w:sz w:val="24"/>
          <w:szCs w:val="24"/>
        </w:rPr>
      </w:pPr>
      <w:r w:rsidRPr="7DCEF4FC">
        <w:rPr>
          <w:rFonts w:ascii="Arial" w:hAnsi="Arial" w:cs="Arial"/>
          <w:sz w:val="24"/>
          <w:szCs w:val="24"/>
        </w:rPr>
        <w:t>Publish the name of the agency in its annual report; and</w:t>
      </w:r>
    </w:p>
    <w:p w14:paraId="1990581A" w14:textId="77777777" w:rsidR="008E2508" w:rsidRDefault="7DCEF4FC" w:rsidP="7DCEF4FC">
      <w:pPr>
        <w:pStyle w:val="ListParagraph"/>
        <w:numPr>
          <w:ilvl w:val="0"/>
          <w:numId w:val="7"/>
        </w:numPr>
        <w:spacing w:after="120" w:line="276" w:lineRule="auto"/>
        <w:jc w:val="both"/>
        <w:rPr>
          <w:rFonts w:ascii="Arial" w:hAnsi="Arial" w:cs="Arial"/>
          <w:sz w:val="24"/>
          <w:szCs w:val="24"/>
        </w:rPr>
      </w:pPr>
      <w:r w:rsidRPr="7DCEF4FC">
        <w:rPr>
          <w:rFonts w:ascii="Arial" w:hAnsi="Arial" w:cs="Arial"/>
          <w:sz w:val="24"/>
          <w:szCs w:val="24"/>
        </w:rPr>
        <w:t xml:space="preserve">Recommend to the Minister that the agency’s ability to procure under the </w:t>
      </w:r>
      <w:r w:rsidR="00CA7F75">
        <w:br/>
      </w:r>
      <w:r w:rsidRPr="7DCEF4FC">
        <w:rPr>
          <w:rFonts w:ascii="Arial" w:hAnsi="Arial" w:cs="Arial"/>
          <w:i/>
          <w:iCs/>
          <w:sz w:val="24"/>
          <w:szCs w:val="24"/>
        </w:rPr>
        <w:t>State Supply Commission Act 1991</w:t>
      </w:r>
      <w:r w:rsidRPr="7DCEF4FC">
        <w:rPr>
          <w:rFonts w:ascii="Arial" w:hAnsi="Arial" w:cs="Arial"/>
          <w:sz w:val="24"/>
          <w:szCs w:val="24"/>
        </w:rPr>
        <w:t xml:space="preserve"> is revoked and that purchasing powers revert to the SSC.</w:t>
      </w:r>
      <w:bookmarkEnd w:id="14"/>
    </w:p>
    <w:p w14:paraId="3DF47807" w14:textId="77777777" w:rsidR="008E2508" w:rsidRDefault="008E2508" w:rsidP="008E2508">
      <w:pPr>
        <w:spacing w:after="120" w:line="276" w:lineRule="auto"/>
        <w:jc w:val="both"/>
        <w:rPr>
          <w:rFonts w:ascii="Arial" w:hAnsi="Arial" w:cs="Arial"/>
          <w:b/>
          <w:color w:val="C00000"/>
          <w:sz w:val="24"/>
        </w:rPr>
      </w:pPr>
    </w:p>
    <w:p w14:paraId="1DD99809" w14:textId="77777777" w:rsidR="008E2508" w:rsidRDefault="008E2508" w:rsidP="008E2508">
      <w:pPr>
        <w:spacing w:after="120" w:line="276" w:lineRule="auto"/>
        <w:jc w:val="both"/>
        <w:rPr>
          <w:rFonts w:ascii="Arial" w:hAnsi="Arial" w:cs="Arial"/>
          <w:b/>
          <w:color w:val="C00000"/>
          <w:sz w:val="24"/>
        </w:rPr>
      </w:pPr>
    </w:p>
    <w:p w14:paraId="1EFFC8D5" w14:textId="77777777" w:rsidR="008E2508" w:rsidRDefault="008E2508" w:rsidP="008E2508">
      <w:pPr>
        <w:spacing w:after="120" w:line="276" w:lineRule="auto"/>
        <w:jc w:val="both"/>
        <w:rPr>
          <w:rFonts w:ascii="Arial" w:hAnsi="Arial" w:cs="Arial"/>
          <w:b/>
          <w:color w:val="C00000"/>
          <w:sz w:val="24"/>
        </w:rPr>
      </w:pPr>
    </w:p>
    <w:p w14:paraId="6431B4EF" w14:textId="77777777" w:rsidR="008E2508" w:rsidRDefault="008E2508" w:rsidP="008E2508">
      <w:pPr>
        <w:spacing w:after="120" w:line="276" w:lineRule="auto"/>
        <w:jc w:val="both"/>
        <w:rPr>
          <w:rFonts w:ascii="Arial" w:hAnsi="Arial" w:cs="Arial"/>
          <w:b/>
          <w:color w:val="C00000"/>
          <w:sz w:val="24"/>
        </w:rPr>
      </w:pPr>
    </w:p>
    <w:p w14:paraId="7ADA00EF" w14:textId="469BDB1D" w:rsidR="00CA7F75" w:rsidRPr="008E2508" w:rsidRDefault="7DCEF4FC" w:rsidP="7DCEF4FC">
      <w:pPr>
        <w:spacing w:after="120" w:line="276" w:lineRule="auto"/>
        <w:jc w:val="both"/>
        <w:rPr>
          <w:rFonts w:ascii="Arial" w:hAnsi="Arial" w:cs="Arial"/>
          <w:sz w:val="24"/>
          <w:szCs w:val="24"/>
        </w:rPr>
      </w:pPr>
      <w:r w:rsidRPr="7DCEF4FC">
        <w:rPr>
          <w:rFonts w:ascii="Arial" w:hAnsi="Arial" w:cs="Arial"/>
          <w:b/>
          <w:bCs/>
          <w:color w:val="C00000"/>
          <w:sz w:val="24"/>
          <w:szCs w:val="24"/>
        </w:rPr>
        <w:lastRenderedPageBreak/>
        <w:t>Timely payment of suppliers</w:t>
      </w:r>
    </w:p>
    <w:p w14:paraId="1862BBC0" w14:textId="6FF54AFE" w:rsidR="00CA7F75" w:rsidRPr="003D1D96" w:rsidRDefault="7DCEF4FC" w:rsidP="7DCEF4FC">
      <w:pPr>
        <w:keepNext/>
        <w:keepLines/>
        <w:spacing w:after="120" w:line="276" w:lineRule="auto"/>
        <w:jc w:val="both"/>
        <w:rPr>
          <w:rFonts w:ascii="Arial" w:hAnsi="Arial" w:cs="Arial"/>
          <w:sz w:val="24"/>
          <w:szCs w:val="24"/>
        </w:rPr>
      </w:pPr>
      <w:r w:rsidRPr="7DCEF4FC">
        <w:rPr>
          <w:rFonts w:ascii="Arial" w:hAnsi="Arial" w:cs="Arial"/>
          <w:sz w:val="24"/>
          <w:szCs w:val="24"/>
        </w:rPr>
        <w:t xml:space="preserve">The legislation does not prescribe standards for timely payments. The Regional Chamber of Commerce and Industry and the Small Business Development Corporation have called for reforms that ensure the timely payment of suppliers. </w:t>
      </w:r>
    </w:p>
    <w:p w14:paraId="1EC97005" w14:textId="722772BF" w:rsidR="00CA7F75" w:rsidRPr="003D1D96" w:rsidRDefault="7DCEF4FC" w:rsidP="7DCEF4FC">
      <w:pPr>
        <w:spacing w:after="120" w:line="276" w:lineRule="auto"/>
        <w:jc w:val="both"/>
        <w:rPr>
          <w:rFonts w:ascii="Arial" w:hAnsi="Arial" w:cs="Arial"/>
          <w:sz w:val="24"/>
          <w:szCs w:val="24"/>
        </w:rPr>
      </w:pPr>
      <w:r w:rsidRPr="7DCEF4FC">
        <w:rPr>
          <w:rFonts w:ascii="Arial" w:hAnsi="Arial" w:cs="Arial"/>
          <w:sz w:val="24"/>
          <w:szCs w:val="24"/>
        </w:rPr>
        <w:t>In 2018, the Auditor General published a report which found that while the majority of the 10 local governments audited made payments to suppliers on a timely basis, few had policies in place to ensure timely payments. Among the Auditor General’s three recommendations was the notion that that local governments should have policies or procedures that clearly require payment of invoices within specific periods after receiving the invoice or after the receipt of goods and services. Reforms to legislation could mandate that local governments adopt a policy for invoice payment and/or specify a maximum allowed payment period.</w:t>
      </w:r>
    </w:p>
    <w:p w14:paraId="174EDD02" w14:textId="505A7615" w:rsidR="00F02268" w:rsidRPr="003D1D96" w:rsidRDefault="7DCEF4FC" w:rsidP="7DCEF4FC">
      <w:pPr>
        <w:spacing w:after="120" w:line="276" w:lineRule="auto"/>
        <w:jc w:val="both"/>
        <w:rPr>
          <w:rFonts w:ascii="Arial" w:hAnsi="Arial" w:cs="Arial"/>
          <w:sz w:val="24"/>
          <w:szCs w:val="24"/>
        </w:rPr>
      </w:pPr>
      <w:r w:rsidRPr="7DCEF4FC">
        <w:rPr>
          <w:rFonts w:ascii="Arial" w:hAnsi="Arial" w:cs="Arial"/>
          <w:sz w:val="24"/>
          <w:szCs w:val="24"/>
        </w:rPr>
        <w:t>Another option is to align the rules for timely payment of suppliers with State Government requirements. Treasurer’s Instruction 323 requires State Government agencies to make payments within 30 days of the receipt of the invoice, or within 30 days of the provision of the goods or services (whichever is later).</w:t>
      </w:r>
    </w:p>
    <w:p w14:paraId="30DB3D4B" w14:textId="78D62412" w:rsidR="00CA7F75" w:rsidRPr="003D1D96" w:rsidRDefault="7DCEF4FC" w:rsidP="7DCEF4FC">
      <w:pPr>
        <w:spacing w:after="120" w:line="276" w:lineRule="auto"/>
        <w:jc w:val="both"/>
        <w:rPr>
          <w:rFonts w:ascii="Arial" w:hAnsi="Arial" w:cs="Arial"/>
          <w:b/>
          <w:bCs/>
          <w:color w:val="C00000"/>
          <w:sz w:val="24"/>
          <w:szCs w:val="24"/>
        </w:rPr>
      </w:pPr>
      <w:r w:rsidRPr="7DCEF4FC">
        <w:rPr>
          <w:rFonts w:ascii="Arial" w:hAnsi="Arial" w:cs="Arial"/>
          <w:b/>
          <w:bCs/>
          <w:color w:val="C00000"/>
          <w:sz w:val="24"/>
          <w:szCs w:val="24"/>
        </w:rPr>
        <w:t xml:space="preserve">Regional price preference </w:t>
      </w:r>
    </w:p>
    <w:p w14:paraId="65CB390A" w14:textId="77777777" w:rsidR="00CA7F75" w:rsidRPr="003D1D96" w:rsidRDefault="7DCEF4FC" w:rsidP="7DCEF4FC">
      <w:pPr>
        <w:spacing w:after="120" w:line="276" w:lineRule="auto"/>
        <w:jc w:val="both"/>
        <w:rPr>
          <w:rFonts w:ascii="Arial" w:hAnsi="Arial" w:cs="Arial"/>
          <w:sz w:val="24"/>
          <w:szCs w:val="24"/>
        </w:rPr>
      </w:pPr>
      <w:r w:rsidRPr="7DCEF4FC">
        <w:rPr>
          <w:rFonts w:ascii="Arial" w:hAnsi="Arial" w:cs="Arial"/>
          <w:sz w:val="24"/>
          <w:szCs w:val="24"/>
        </w:rPr>
        <w:t xml:space="preserve">The </w:t>
      </w:r>
      <w:r w:rsidRPr="7DCEF4FC">
        <w:rPr>
          <w:rFonts w:ascii="Arial" w:hAnsi="Arial" w:cs="Arial"/>
          <w:i/>
          <w:iCs/>
          <w:sz w:val="24"/>
          <w:szCs w:val="24"/>
        </w:rPr>
        <w:t>Local Government (Functions and General) Regulations 1996</w:t>
      </w:r>
      <w:r w:rsidRPr="7DCEF4FC">
        <w:rPr>
          <w:rFonts w:ascii="Arial" w:hAnsi="Arial" w:cs="Arial"/>
          <w:sz w:val="24"/>
          <w:szCs w:val="24"/>
        </w:rPr>
        <w:t xml:space="preserve"> enables a local government outside the metropolitan area to offer a regional price preference.  The regional price preference encourages governments to use locally sourced suppliers allowing local governments to assess a tender from a regional supplier as if the price bids were reduced.</w:t>
      </w:r>
    </w:p>
    <w:p w14:paraId="405829D2" w14:textId="2A84605B" w:rsidR="00CA7F75" w:rsidRPr="003D1D96" w:rsidRDefault="7DCEF4FC" w:rsidP="7DCEF4FC">
      <w:pPr>
        <w:spacing w:after="120" w:line="276" w:lineRule="auto"/>
        <w:jc w:val="both"/>
        <w:rPr>
          <w:rFonts w:ascii="Arial" w:hAnsi="Arial" w:cs="Arial"/>
          <w:sz w:val="24"/>
          <w:szCs w:val="24"/>
        </w:rPr>
      </w:pPr>
      <w:r w:rsidRPr="7DCEF4FC">
        <w:rPr>
          <w:rFonts w:ascii="Arial" w:hAnsi="Arial" w:cs="Arial"/>
          <w:sz w:val="24"/>
          <w:szCs w:val="24"/>
        </w:rPr>
        <w:t>The maximum permitted regional price preference to a regional tenderer is up to 10% for goods and services or 5% for building services up to a maximum price reduction of $50,000. Under State Government tendering rules, the maximum permitted regional price reduction is $250,000.</w:t>
      </w:r>
    </w:p>
    <w:p w14:paraId="11493A6E" w14:textId="433A41CE" w:rsidR="00CA7F75" w:rsidRPr="003D1D96" w:rsidRDefault="7DCEF4FC" w:rsidP="7DCEF4FC">
      <w:pPr>
        <w:spacing w:after="120" w:line="276" w:lineRule="auto"/>
        <w:jc w:val="both"/>
        <w:rPr>
          <w:rFonts w:ascii="Arial" w:hAnsi="Arial" w:cs="Arial"/>
          <w:sz w:val="24"/>
          <w:szCs w:val="24"/>
        </w:rPr>
      </w:pPr>
      <w:r w:rsidRPr="7DCEF4FC">
        <w:rPr>
          <w:rFonts w:ascii="Arial" w:hAnsi="Arial" w:cs="Arial"/>
          <w:sz w:val="24"/>
          <w:szCs w:val="24"/>
        </w:rPr>
        <w:t>Both local government and the Regional Chamber of Commerce and Industry (RCCI) have called for the cap to be increased in line with the State Government limits.</w:t>
      </w:r>
    </w:p>
    <w:p w14:paraId="3194287E" w14:textId="77777777" w:rsidR="00F02268" w:rsidRPr="003D1D96" w:rsidRDefault="7DCEF4FC" w:rsidP="7DCEF4FC">
      <w:pPr>
        <w:spacing w:after="120" w:line="276" w:lineRule="auto"/>
        <w:jc w:val="both"/>
        <w:rPr>
          <w:rFonts w:ascii="Arial" w:hAnsi="Arial" w:cs="Arial"/>
          <w:sz w:val="24"/>
          <w:szCs w:val="24"/>
        </w:rPr>
      </w:pPr>
      <w:r w:rsidRPr="7DCEF4FC">
        <w:rPr>
          <w:rFonts w:ascii="Arial" w:hAnsi="Arial" w:cs="Arial"/>
          <w:sz w:val="24"/>
          <w:szCs w:val="24"/>
        </w:rPr>
        <w:t>Raising the cap may further promote opportunities for local governments to buy local but may also increase costs for regional local governments.</w:t>
      </w:r>
    </w:p>
    <w:p w14:paraId="415338F8" w14:textId="55B72B8D" w:rsidR="00CA7F75" w:rsidRPr="003D1D96" w:rsidRDefault="7DCEF4FC" w:rsidP="7DCEF4FC">
      <w:pPr>
        <w:spacing w:after="120" w:line="276" w:lineRule="auto"/>
        <w:jc w:val="both"/>
        <w:rPr>
          <w:rFonts w:ascii="Arial" w:hAnsi="Arial" w:cs="Arial"/>
          <w:sz w:val="24"/>
          <w:szCs w:val="24"/>
        </w:rPr>
      </w:pPr>
      <w:r w:rsidRPr="7DCEF4FC">
        <w:rPr>
          <w:rFonts w:ascii="Arial" w:hAnsi="Arial" w:cs="Arial"/>
          <w:sz w:val="24"/>
          <w:szCs w:val="24"/>
        </w:rPr>
        <w:t xml:space="preserve">Local government operating budgets vary considerably. For many regional local governments, the $50,000 cap represents a comparatively large proportion of their annual budget. The current cap restricts the value of the regional price preference of tenders with a value greater than $500,000. More than half of the State’s local governments have an annual operating budget of less than $10,000,000.   </w:t>
      </w:r>
    </w:p>
    <w:p w14:paraId="30BD65F9" w14:textId="6A1678CA" w:rsidR="00CA7F75" w:rsidRPr="003D1D96" w:rsidRDefault="7DCEF4FC" w:rsidP="7DCEF4FC">
      <w:pPr>
        <w:spacing w:after="120" w:line="276" w:lineRule="auto"/>
        <w:jc w:val="both"/>
        <w:rPr>
          <w:rFonts w:ascii="Arial" w:hAnsi="Arial" w:cs="Arial"/>
          <w:sz w:val="24"/>
          <w:szCs w:val="24"/>
        </w:rPr>
      </w:pPr>
      <w:r w:rsidRPr="7DCEF4FC">
        <w:rPr>
          <w:rFonts w:ascii="Arial" w:hAnsi="Arial" w:cs="Arial"/>
          <w:sz w:val="24"/>
          <w:szCs w:val="24"/>
        </w:rPr>
        <w:t xml:space="preserve">In their submission to earlier consultation on the Act Review, Local Government Professionals Australia WA requested that the legislation be amended to specify that all purchases and not just goods and services and construction services be eligible for the regional price preference.  </w:t>
      </w:r>
    </w:p>
    <w:p w14:paraId="6CFDE02A" w14:textId="77777777" w:rsidR="00CA7F75" w:rsidRPr="003D1D96" w:rsidRDefault="7DCEF4FC" w:rsidP="7DCEF4FC">
      <w:pPr>
        <w:spacing w:after="120" w:line="276" w:lineRule="auto"/>
        <w:jc w:val="both"/>
        <w:rPr>
          <w:rFonts w:ascii="Arial" w:hAnsi="Arial" w:cs="Arial"/>
          <w:b/>
          <w:bCs/>
          <w:color w:val="C00000"/>
          <w:sz w:val="24"/>
          <w:szCs w:val="24"/>
        </w:rPr>
      </w:pPr>
      <w:r w:rsidRPr="7DCEF4FC">
        <w:rPr>
          <w:rFonts w:ascii="Arial" w:hAnsi="Arial" w:cs="Arial"/>
          <w:b/>
          <w:bCs/>
          <w:color w:val="C00000"/>
          <w:sz w:val="24"/>
          <w:szCs w:val="24"/>
        </w:rPr>
        <w:lastRenderedPageBreak/>
        <w:t xml:space="preserve">Who should authorise payments? </w:t>
      </w:r>
    </w:p>
    <w:p w14:paraId="628D9BE0" w14:textId="34CD7D76" w:rsidR="00CA7F75" w:rsidRPr="003D1D96" w:rsidRDefault="7DCEF4FC" w:rsidP="7DCEF4FC">
      <w:pPr>
        <w:spacing w:after="120" w:line="276" w:lineRule="auto"/>
        <w:jc w:val="both"/>
        <w:rPr>
          <w:rFonts w:ascii="Arial" w:hAnsi="Arial" w:cs="Arial"/>
          <w:sz w:val="24"/>
          <w:szCs w:val="24"/>
        </w:rPr>
      </w:pPr>
      <w:r w:rsidRPr="7DCEF4FC">
        <w:rPr>
          <w:rFonts w:ascii="Arial" w:hAnsi="Arial" w:cs="Arial"/>
          <w:sz w:val="24"/>
          <w:szCs w:val="24"/>
        </w:rPr>
        <w:t xml:space="preserve">Regulation 12 of the </w:t>
      </w:r>
      <w:r w:rsidRPr="7DCEF4FC">
        <w:rPr>
          <w:rFonts w:ascii="Arial" w:hAnsi="Arial" w:cs="Arial"/>
          <w:i/>
          <w:iCs/>
          <w:sz w:val="24"/>
          <w:szCs w:val="24"/>
        </w:rPr>
        <w:t>Local Government (Financial Management) Regulations 1996</w:t>
      </w:r>
      <w:r w:rsidRPr="7DCEF4FC">
        <w:rPr>
          <w:rFonts w:ascii="Arial" w:hAnsi="Arial" w:cs="Arial"/>
          <w:sz w:val="24"/>
          <w:szCs w:val="24"/>
        </w:rPr>
        <w:t xml:space="preserve"> provides council with autonomy to determine what payments a Chief Executive Officer is authorised to make. If council delegates authority to make payments, Regulation 13 requires the Chief Executive Officer to prepare a list of accounts each month that shows details of the payment including the amount paid and details of the payee, the date and amount of the payment.</w:t>
      </w:r>
    </w:p>
    <w:p w14:paraId="6DA1BA83" w14:textId="31AFD90D" w:rsidR="00CA7F75" w:rsidRPr="003D1D96" w:rsidRDefault="7DCEF4FC" w:rsidP="7DCEF4FC">
      <w:pPr>
        <w:spacing w:after="120" w:line="276" w:lineRule="auto"/>
        <w:jc w:val="both"/>
        <w:rPr>
          <w:rFonts w:ascii="Arial" w:hAnsi="Arial" w:cs="Arial"/>
          <w:sz w:val="24"/>
          <w:szCs w:val="24"/>
        </w:rPr>
      </w:pPr>
      <w:r w:rsidRPr="7DCEF4FC">
        <w:rPr>
          <w:rFonts w:ascii="Arial" w:hAnsi="Arial" w:cs="Arial"/>
          <w:sz w:val="24"/>
          <w:szCs w:val="24"/>
        </w:rPr>
        <w:t>During the review, some staff within local government administration asserted that the autonomy provided for in the regulations contributes to confusion in roles and responsibilities between council and administration. The staff asserted that Regulation 12 allows councils to establish a delegation approach that results in routine payments being queried by council. To clarify who can authorise payments, some staff within local government administration have called for the regulations to prescribe thresholds for when council approval is required.</w:t>
      </w:r>
    </w:p>
    <w:p w14:paraId="707D2122" w14:textId="66F11CBB" w:rsidR="00CA7F75" w:rsidRPr="003D1D96" w:rsidRDefault="7DCEF4FC" w:rsidP="7DCEF4FC">
      <w:pPr>
        <w:spacing w:after="120" w:line="276" w:lineRule="auto"/>
        <w:jc w:val="both"/>
        <w:rPr>
          <w:rFonts w:ascii="Arial" w:hAnsi="Arial" w:cs="Arial"/>
          <w:sz w:val="24"/>
          <w:szCs w:val="24"/>
        </w:rPr>
      </w:pPr>
      <w:r w:rsidRPr="7DCEF4FC">
        <w:rPr>
          <w:rFonts w:ascii="Arial" w:hAnsi="Arial" w:cs="Arial"/>
          <w:sz w:val="24"/>
          <w:szCs w:val="24"/>
        </w:rPr>
        <w:t>Currently, local governments are required to prepare a monthly report to council detailing the list of accounts paid by the Chief Executive Officer under delegated authority. As an alternative, reforms could be introduced that would require the Chief Executive Officer only to provide council with the report, when requested by council.</w:t>
      </w:r>
    </w:p>
    <w:p w14:paraId="58C3D26C" w14:textId="77777777" w:rsidR="00B40815" w:rsidRPr="003D1D96" w:rsidRDefault="7DCEF4FC" w:rsidP="7DCEF4FC">
      <w:pPr>
        <w:spacing w:after="120" w:line="276" w:lineRule="auto"/>
        <w:jc w:val="both"/>
        <w:rPr>
          <w:rFonts w:ascii="Arial" w:hAnsi="Arial" w:cs="Arial"/>
          <w:b/>
          <w:bCs/>
          <w:color w:val="C00000"/>
          <w:sz w:val="24"/>
          <w:szCs w:val="24"/>
        </w:rPr>
      </w:pPr>
      <w:r w:rsidRPr="7DCEF4FC">
        <w:rPr>
          <w:rFonts w:ascii="Arial" w:hAnsi="Arial" w:cs="Arial"/>
          <w:b/>
          <w:bCs/>
          <w:color w:val="C00000"/>
          <w:sz w:val="24"/>
          <w:szCs w:val="24"/>
        </w:rPr>
        <w:t>Disposal of property</w:t>
      </w:r>
    </w:p>
    <w:p w14:paraId="6B6C552B" w14:textId="041D9D98" w:rsidR="00B40815" w:rsidRPr="003D1D96" w:rsidRDefault="7DCEF4FC" w:rsidP="7DCEF4FC">
      <w:pPr>
        <w:spacing w:after="120" w:line="276" w:lineRule="auto"/>
        <w:jc w:val="both"/>
        <w:rPr>
          <w:rFonts w:ascii="Arial" w:hAnsi="Arial" w:cs="Arial"/>
          <w:sz w:val="24"/>
          <w:szCs w:val="24"/>
        </w:rPr>
      </w:pPr>
      <w:r w:rsidRPr="7DCEF4FC">
        <w:rPr>
          <w:rFonts w:ascii="Arial" w:hAnsi="Arial" w:cs="Arial"/>
          <w:sz w:val="24"/>
          <w:szCs w:val="24"/>
        </w:rPr>
        <w:t>During earlier consultation on the Act Review, submissions were received concerning the disposal of property. Amendments to these provisions will be considered as part of broader reforms to the financial management framework.</w:t>
      </w:r>
    </w:p>
    <w:p w14:paraId="705CD74D" w14:textId="77777777" w:rsidR="00CA7F75" w:rsidRPr="00C900CA" w:rsidRDefault="7DCEF4FC" w:rsidP="7DCEF4FC">
      <w:pPr>
        <w:pStyle w:val="Heading1"/>
        <w:spacing w:before="0" w:after="120" w:line="276" w:lineRule="auto"/>
        <w:rPr>
          <w:rFonts w:ascii="Arial" w:hAnsi="Arial" w:cs="Arial"/>
          <w:color w:val="C0311A"/>
        </w:rPr>
      </w:pPr>
      <w:r w:rsidRPr="7DCEF4FC">
        <w:rPr>
          <w:rFonts w:ascii="Arial" w:hAnsi="Arial" w:cs="Arial"/>
          <w:color w:val="C0311A"/>
        </w:rPr>
        <w:t>Annual reporting</w:t>
      </w:r>
      <w:bookmarkEnd w:id="11"/>
    </w:p>
    <w:p w14:paraId="34BC87BB" w14:textId="4639B8DF" w:rsidR="00CA7F75" w:rsidRPr="003D1D96" w:rsidRDefault="7DCEF4FC" w:rsidP="7DCEF4FC">
      <w:pPr>
        <w:spacing w:after="120" w:line="276" w:lineRule="auto"/>
        <w:jc w:val="both"/>
        <w:rPr>
          <w:rFonts w:ascii="Arial" w:hAnsi="Arial" w:cs="Arial"/>
          <w:sz w:val="24"/>
          <w:szCs w:val="24"/>
        </w:rPr>
      </w:pPr>
      <w:r w:rsidRPr="7DCEF4FC">
        <w:rPr>
          <w:rFonts w:ascii="Arial" w:hAnsi="Arial" w:cs="Arial"/>
          <w:sz w:val="24"/>
          <w:szCs w:val="24"/>
        </w:rPr>
        <w:t xml:space="preserve">Financial reporting is not a unique requirement to local government. All State Government and Commonwealth department financial reports are audited by their respective Offices of the Auditor General and must be tabled in Parliament. In the private sector, audited financial reports for many types of companies must be submitted to the Australian Securities and Investment Commission and prescribed types of charities must submit a general purpose financial statement that complies with the Australian Accounting Standards to the Australian Charities and Not-for-profits Commission. </w:t>
      </w:r>
    </w:p>
    <w:tbl>
      <w:tblPr>
        <w:tblStyle w:val="TableGrid"/>
        <w:tblW w:w="0" w:type="auto"/>
        <w:shd w:val="clear" w:color="auto" w:fill="C0311A"/>
        <w:tblLook w:val="04A0" w:firstRow="1" w:lastRow="0" w:firstColumn="1" w:lastColumn="0" w:noHBand="0" w:noVBand="1"/>
      </w:tblPr>
      <w:tblGrid>
        <w:gridCol w:w="9016"/>
      </w:tblGrid>
      <w:tr w:rsidR="00C900CA" w:rsidRPr="00C900CA" w14:paraId="62C642C0" w14:textId="77777777" w:rsidTr="7DCEF4FC">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C0311A"/>
          </w:tcPr>
          <w:p w14:paraId="3FAFD3FF" w14:textId="77777777" w:rsidR="00CA7F75" w:rsidRPr="008E2508" w:rsidRDefault="7DCEF4FC" w:rsidP="7DCEF4FC">
            <w:pPr>
              <w:spacing w:before="0" w:after="120" w:line="276" w:lineRule="auto"/>
              <w:jc w:val="both"/>
              <w:rPr>
                <w:rFonts w:cs="Arial"/>
                <w:color w:val="FFFFFF" w:themeColor="background1"/>
              </w:rPr>
            </w:pPr>
            <w:r w:rsidRPr="7DCEF4FC">
              <w:rPr>
                <w:rFonts w:cs="Arial"/>
                <w:color w:val="FFFFFF" w:themeColor="background1"/>
              </w:rPr>
              <w:lastRenderedPageBreak/>
              <w:t>Reporting requirements of not for profit organisations in Western Australia</w:t>
            </w:r>
          </w:p>
          <w:p w14:paraId="5764A6EA" w14:textId="77777777" w:rsidR="00CA7F75" w:rsidRPr="008E2508" w:rsidRDefault="7DCEF4FC" w:rsidP="7DCEF4FC">
            <w:pPr>
              <w:spacing w:before="0" w:after="120" w:line="276" w:lineRule="auto"/>
              <w:jc w:val="both"/>
              <w:rPr>
                <w:rFonts w:cs="Arial"/>
                <w:b w:val="0"/>
                <w:color w:val="FFFFFF" w:themeColor="background1"/>
              </w:rPr>
            </w:pPr>
            <w:r w:rsidRPr="7DCEF4FC">
              <w:rPr>
                <w:rFonts w:cs="Arial"/>
                <w:b w:val="0"/>
                <w:color w:val="FFFFFF" w:themeColor="background1"/>
              </w:rPr>
              <w:t xml:space="preserve">The financial reporting rules for not for profit organisations vary based on their operating revenue.  </w:t>
            </w:r>
          </w:p>
          <w:p w14:paraId="4B645193" w14:textId="77777777" w:rsidR="00CA7F75" w:rsidRPr="008E2508" w:rsidRDefault="7DCEF4FC" w:rsidP="7DCEF4FC">
            <w:pPr>
              <w:spacing w:before="0" w:after="120" w:line="276" w:lineRule="auto"/>
              <w:jc w:val="both"/>
              <w:rPr>
                <w:rFonts w:cs="Arial"/>
                <w:b w:val="0"/>
                <w:color w:val="FFFFFF" w:themeColor="background1"/>
              </w:rPr>
            </w:pPr>
            <w:r w:rsidRPr="7DCEF4FC">
              <w:rPr>
                <w:rFonts w:cs="Arial"/>
                <w:b w:val="0"/>
                <w:color w:val="FFFFFF" w:themeColor="background1"/>
              </w:rPr>
              <w:t>Small not for profit organisations with an annual revenue of less than $250,000 may (but are not required to) submit an annual financial report to the Australian Charities and Not-For-Profit Commission (ACNC) as the sector’s statutory regulator.</w:t>
            </w:r>
          </w:p>
          <w:p w14:paraId="629A43D3" w14:textId="77777777" w:rsidR="00CA7F75" w:rsidRPr="008E2508" w:rsidRDefault="7DCEF4FC" w:rsidP="7DCEF4FC">
            <w:pPr>
              <w:spacing w:before="0" w:after="120" w:line="276" w:lineRule="auto"/>
              <w:jc w:val="both"/>
              <w:rPr>
                <w:rFonts w:cs="Arial"/>
                <w:b w:val="0"/>
                <w:color w:val="FFFFFF" w:themeColor="background1"/>
              </w:rPr>
            </w:pPr>
            <w:r w:rsidRPr="7DCEF4FC">
              <w:rPr>
                <w:rFonts w:cs="Arial"/>
                <w:b w:val="0"/>
                <w:color w:val="FFFFFF" w:themeColor="background1"/>
              </w:rPr>
              <w:t xml:space="preserve">Medium sized not-for-profit organisations with an annual revenue of $250,000 or more but less than $1 million must submit an annual financial report to the ACNC that is independently audited or reviewed according to ACNC standards. </w:t>
            </w:r>
          </w:p>
          <w:p w14:paraId="5328E42C" w14:textId="77777777" w:rsidR="00CA7F75" w:rsidRPr="00C900CA" w:rsidRDefault="7DCEF4FC" w:rsidP="7DCEF4FC">
            <w:pPr>
              <w:spacing w:before="0" w:after="120" w:line="276" w:lineRule="auto"/>
              <w:jc w:val="both"/>
              <w:rPr>
                <w:rFonts w:cs="Arial"/>
                <w:b w:val="0"/>
                <w:color w:val="FFFFFF" w:themeColor="background1"/>
              </w:rPr>
            </w:pPr>
            <w:r w:rsidRPr="7DCEF4FC">
              <w:rPr>
                <w:rFonts w:cs="Arial"/>
                <w:b w:val="0"/>
                <w:color w:val="FFFFFF" w:themeColor="background1"/>
              </w:rPr>
              <w:t>Large charitable funding organisations with an annual revenue of $1 million or more must submit an annual financial report that complies with the Australian Accounting Standards and has been independently audited to the ACNC and submit an independently audited report to the members of their organisation.</w:t>
            </w:r>
          </w:p>
        </w:tc>
      </w:tr>
    </w:tbl>
    <w:p w14:paraId="6AFBA6A0" w14:textId="77777777" w:rsidR="00CA7F75" w:rsidRPr="00FC154F" w:rsidRDefault="00CA7F75" w:rsidP="00CA7F75">
      <w:pPr>
        <w:spacing w:after="120" w:line="276" w:lineRule="auto"/>
        <w:jc w:val="both"/>
        <w:rPr>
          <w:rFonts w:ascii="Arial" w:hAnsi="Arial" w:cs="Arial"/>
        </w:rPr>
      </w:pPr>
    </w:p>
    <w:p w14:paraId="53343106" w14:textId="3D603231" w:rsidR="00CA7F75" w:rsidRPr="003D1D96" w:rsidRDefault="7DCEF4FC" w:rsidP="7DCEF4FC">
      <w:pPr>
        <w:keepNext/>
        <w:keepLines/>
        <w:spacing w:after="120" w:line="276" w:lineRule="auto"/>
        <w:jc w:val="both"/>
        <w:rPr>
          <w:rFonts w:ascii="Arial" w:hAnsi="Arial" w:cs="Arial"/>
          <w:sz w:val="24"/>
          <w:szCs w:val="24"/>
        </w:rPr>
      </w:pPr>
      <w:r w:rsidRPr="7DCEF4FC">
        <w:rPr>
          <w:rFonts w:ascii="Arial" w:hAnsi="Arial" w:cs="Arial"/>
          <w:sz w:val="24"/>
          <w:szCs w:val="24"/>
        </w:rPr>
        <w:t>Local governments are required to prepare an audited financial statement annually.  The statement is required to meet the Australian Accounting Standards (AAS) as modified by the Act and Regulations.</w:t>
      </w:r>
    </w:p>
    <w:p w14:paraId="14499869" w14:textId="6B130F78" w:rsidR="00CA7F75" w:rsidRPr="003D1D96" w:rsidRDefault="7DCEF4FC" w:rsidP="7DCEF4FC">
      <w:pPr>
        <w:keepNext/>
        <w:keepLines/>
        <w:spacing w:after="120" w:line="276" w:lineRule="auto"/>
        <w:jc w:val="both"/>
        <w:rPr>
          <w:rFonts w:ascii="Arial" w:hAnsi="Arial" w:cs="Arial"/>
          <w:sz w:val="24"/>
          <w:szCs w:val="24"/>
        </w:rPr>
      </w:pPr>
      <w:r w:rsidRPr="7DCEF4FC">
        <w:rPr>
          <w:rFonts w:ascii="Arial" w:hAnsi="Arial" w:cs="Arial"/>
          <w:sz w:val="24"/>
          <w:szCs w:val="24"/>
        </w:rPr>
        <w:t xml:space="preserve">Legislation requires that local governments calculate and publish seven financial ratios in their annual financial statements. Financial ratios are increasingly used across Australia as an important performance indicator for public sector entities, including local government.  </w:t>
      </w:r>
    </w:p>
    <w:p w14:paraId="6668B6D4" w14:textId="1BB9E973" w:rsidR="00CA7F75" w:rsidRPr="003D1D96" w:rsidRDefault="7DCEF4FC" w:rsidP="7DCEF4FC">
      <w:pPr>
        <w:spacing w:after="120" w:line="276" w:lineRule="auto"/>
        <w:jc w:val="both"/>
        <w:rPr>
          <w:rFonts w:ascii="Arial" w:hAnsi="Arial" w:cs="Arial"/>
          <w:sz w:val="24"/>
          <w:szCs w:val="24"/>
        </w:rPr>
      </w:pPr>
      <w:r w:rsidRPr="7DCEF4FC">
        <w:rPr>
          <w:rFonts w:ascii="Arial" w:hAnsi="Arial" w:cs="Arial"/>
          <w:sz w:val="24"/>
          <w:szCs w:val="24"/>
        </w:rPr>
        <w:t xml:space="preserve">Across Australia, local governments are required to calculate and publish different ratios.  The lack of consistency makes the comparison of financial performance across local governments around the country more complex. Likewise, methods of valuation used to calculate ratios under the International Valuation Standard can vary, which means that ratios are a guide or indicator rather than a definitive account of financial health. </w:t>
      </w:r>
    </w:p>
    <w:tbl>
      <w:tblPr>
        <w:tblStyle w:val="TableGrid"/>
        <w:tblW w:w="9016" w:type="dxa"/>
        <w:tblLayout w:type="fixed"/>
        <w:tblLook w:val="04A0" w:firstRow="1" w:lastRow="0" w:firstColumn="1" w:lastColumn="0" w:noHBand="0" w:noVBand="1"/>
      </w:tblPr>
      <w:tblGrid>
        <w:gridCol w:w="2263"/>
        <w:gridCol w:w="4253"/>
        <w:gridCol w:w="2500"/>
      </w:tblGrid>
      <w:tr w:rsidR="00C900CA" w:rsidRPr="00C900CA" w14:paraId="4420E86A" w14:textId="77777777" w:rsidTr="7DCEF4FC">
        <w:trPr>
          <w:cnfStyle w:val="100000000000" w:firstRow="1" w:lastRow="0" w:firstColumn="0" w:lastColumn="0" w:oddVBand="0" w:evenVBand="0" w:oddHBand="0" w:evenHBand="0" w:firstRowFirstColumn="0" w:firstRowLastColumn="0" w:lastRowFirstColumn="0" w:lastRowLastColumn="0"/>
          <w:trHeight w:val="796"/>
        </w:trPr>
        <w:tc>
          <w:tcPr>
            <w:tcW w:w="2263" w:type="dxa"/>
            <w:shd w:val="clear" w:color="auto" w:fill="C0311A"/>
          </w:tcPr>
          <w:p w14:paraId="5A3AD62E" w14:textId="77777777" w:rsidR="00CA7F75" w:rsidRPr="008E2508" w:rsidRDefault="7DCEF4FC" w:rsidP="7DCEF4FC">
            <w:pPr>
              <w:spacing w:before="0" w:after="120" w:line="276" w:lineRule="auto"/>
              <w:rPr>
                <w:rFonts w:cs="Arial"/>
                <w:color w:val="FFFFFF" w:themeColor="background1"/>
              </w:rPr>
            </w:pPr>
            <w:r w:rsidRPr="7DCEF4FC">
              <w:rPr>
                <w:rFonts w:cs="Arial"/>
                <w:color w:val="FFFFFF" w:themeColor="background1"/>
              </w:rPr>
              <w:t>Ratio name</w:t>
            </w:r>
          </w:p>
        </w:tc>
        <w:tc>
          <w:tcPr>
            <w:tcW w:w="4253" w:type="dxa"/>
            <w:shd w:val="clear" w:color="auto" w:fill="C0311A"/>
          </w:tcPr>
          <w:p w14:paraId="1E378385" w14:textId="77777777" w:rsidR="00CA7F75" w:rsidRPr="008E2508" w:rsidRDefault="7DCEF4FC" w:rsidP="7DCEF4FC">
            <w:pPr>
              <w:spacing w:before="0" w:after="120" w:line="276" w:lineRule="auto"/>
              <w:rPr>
                <w:rFonts w:cs="Arial"/>
                <w:color w:val="FFFFFF" w:themeColor="background1"/>
              </w:rPr>
            </w:pPr>
            <w:r w:rsidRPr="7DCEF4FC">
              <w:rPr>
                <w:rFonts w:cs="Arial"/>
                <w:color w:val="FFFFFF" w:themeColor="background1"/>
              </w:rPr>
              <w:t>Calculation</w:t>
            </w:r>
          </w:p>
        </w:tc>
        <w:tc>
          <w:tcPr>
            <w:tcW w:w="2500" w:type="dxa"/>
            <w:shd w:val="clear" w:color="auto" w:fill="C0311A"/>
          </w:tcPr>
          <w:p w14:paraId="52BD52DE" w14:textId="77777777" w:rsidR="00CA7F75" w:rsidRPr="008E2508" w:rsidRDefault="7DCEF4FC" w:rsidP="7DCEF4FC">
            <w:pPr>
              <w:spacing w:before="0" w:after="120" w:line="276" w:lineRule="auto"/>
              <w:rPr>
                <w:rFonts w:cs="Arial"/>
                <w:color w:val="FFFFFF" w:themeColor="background1"/>
              </w:rPr>
            </w:pPr>
            <w:r w:rsidRPr="7DCEF4FC">
              <w:rPr>
                <w:rFonts w:cs="Arial"/>
                <w:color w:val="FFFFFF" w:themeColor="background1"/>
              </w:rPr>
              <w:t>Used in</w:t>
            </w:r>
          </w:p>
        </w:tc>
      </w:tr>
      <w:tr w:rsidR="00CA7F75" w:rsidRPr="00FC154F" w14:paraId="141EB9D3" w14:textId="77777777" w:rsidTr="7DCEF4FC">
        <w:trPr>
          <w:trHeight w:val="481"/>
        </w:trPr>
        <w:tc>
          <w:tcPr>
            <w:tcW w:w="2263" w:type="dxa"/>
          </w:tcPr>
          <w:p w14:paraId="3D80F536" w14:textId="77777777" w:rsidR="00CA7F75" w:rsidRPr="008E2508" w:rsidRDefault="7DCEF4FC" w:rsidP="7DCEF4FC">
            <w:pPr>
              <w:spacing w:before="0" w:after="120" w:line="276" w:lineRule="auto"/>
              <w:rPr>
                <w:rFonts w:cs="Arial"/>
              </w:rPr>
            </w:pPr>
            <w:r w:rsidRPr="7DCEF4FC">
              <w:rPr>
                <w:rFonts w:cs="Arial"/>
              </w:rPr>
              <w:t>Current / liquidity ratio / working capital ratio</w:t>
            </w:r>
          </w:p>
        </w:tc>
        <w:tc>
          <w:tcPr>
            <w:tcW w:w="4253" w:type="dxa"/>
          </w:tcPr>
          <w:p w14:paraId="174BF621" w14:textId="77777777" w:rsidR="00CA7F75" w:rsidRPr="008E2508" w:rsidRDefault="7DCEF4FC" w:rsidP="7DCEF4FC">
            <w:pPr>
              <w:spacing w:before="0" w:after="120" w:line="276" w:lineRule="auto"/>
              <w:rPr>
                <w:rFonts w:cs="Arial"/>
              </w:rPr>
            </w:pPr>
            <w:r w:rsidRPr="7DCEF4FC">
              <w:rPr>
                <w:rFonts w:cs="Arial"/>
              </w:rPr>
              <w:t>Current assets - restricted assets / current liabilities – associated with restricted assets</w:t>
            </w:r>
          </w:p>
        </w:tc>
        <w:tc>
          <w:tcPr>
            <w:tcW w:w="2500" w:type="dxa"/>
          </w:tcPr>
          <w:p w14:paraId="582E1DD6" w14:textId="77777777" w:rsidR="00CA7F75" w:rsidRPr="008E2508" w:rsidRDefault="7DCEF4FC" w:rsidP="7DCEF4FC">
            <w:pPr>
              <w:spacing w:before="0" w:after="120" w:line="276" w:lineRule="auto"/>
              <w:rPr>
                <w:rFonts w:cs="Arial"/>
              </w:rPr>
            </w:pPr>
            <w:r w:rsidRPr="7DCEF4FC">
              <w:rPr>
                <w:rFonts w:cs="Arial"/>
              </w:rPr>
              <w:t>Western Australia</w:t>
            </w:r>
          </w:p>
          <w:p w14:paraId="7C3B9060" w14:textId="77777777" w:rsidR="00CA7F75" w:rsidRPr="008E2508" w:rsidRDefault="7DCEF4FC" w:rsidP="7DCEF4FC">
            <w:pPr>
              <w:spacing w:before="0" w:after="120" w:line="276" w:lineRule="auto"/>
              <w:rPr>
                <w:rFonts w:cs="Arial"/>
              </w:rPr>
            </w:pPr>
            <w:r w:rsidRPr="7DCEF4FC">
              <w:rPr>
                <w:rFonts w:cs="Arial"/>
              </w:rPr>
              <w:t>Victoria</w:t>
            </w:r>
          </w:p>
        </w:tc>
      </w:tr>
      <w:tr w:rsidR="00CA7F75" w:rsidRPr="00FC154F" w14:paraId="0BC99571" w14:textId="77777777" w:rsidTr="7DCEF4FC">
        <w:trPr>
          <w:trHeight w:val="481"/>
        </w:trPr>
        <w:tc>
          <w:tcPr>
            <w:tcW w:w="2263" w:type="dxa"/>
          </w:tcPr>
          <w:p w14:paraId="79CB8C5F" w14:textId="77777777" w:rsidR="00CA7F75" w:rsidRPr="008E2508" w:rsidRDefault="7DCEF4FC" w:rsidP="7DCEF4FC">
            <w:pPr>
              <w:spacing w:before="0" w:after="120" w:line="276" w:lineRule="auto"/>
              <w:rPr>
                <w:rFonts w:cs="Arial"/>
              </w:rPr>
            </w:pPr>
            <w:r w:rsidRPr="7DCEF4FC">
              <w:rPr>
                <w:rFonts w:cs="Arial"/>
              </w:rPr>
              <w:t xml:space="preserve">Current ratio (method two) </w:t>
            </w:r>
          </w:p>
        </w:tc>
        <w:tc>
          <w:tcPr>
            <w:tcW w:w="4253" w:type="dxa"/>
          </w:tcPr>
          <w:p w14:paraId="10D5059C" w14:textId="77777777" w:rsidR="00CA7F75" w:rsidRPr="008E2508" w:rsidRDefault="7DCEF4FC" w:rsidP="7DCEF4FC">
            <w:pPr>
              <w:spacing w:before="0" w:after="120" w:line="276" w:lineRule="auto"/>
              <w:rPr>
                <w:rFonts w:cs="Arial"/>
              </w:rPr>
            </w:pPr>
            <w:r w:rsidRPr="7DCEF4FC">
              <w:rPr>
                <w:rFonts w:cs="Arial"/>
              </w:rPr>
              <w:t>Current assets – external restrictions / current liabilities – specific purpose liabilities</w:t>
            </w:r>
          </w:p>
        </w:tc>
        <w:tc>
          <w:tcPr>
            <w:tcW w:w="2500" w:type="dxa"/>
          </w:tcPr>
          <w:p w14:paraId="5744F721" w14:textId="77777777" w:rsidR="00CA7F75" w:rsidRPr="008E2508" w:rsidRDefault="7DCEF4FC" w:rsidP="7DCEF4FC">
            <w:pPr>
              <w:spacing w:before="0" w:after="120" w:line="276" w:lineRule="auto"/>
              <w:rPr>
                <w:rFonts w:cs="Arial"/>
              </w:rPr>
            </w:pPr>
            <w:r w:rsidRPr="7DCEF4FC">
              <w:rPr>
                <w:rFonts w:cs="Arial"/>
              </w:rPr>
              <w:t>New South Wales</w:t>
            </w:r>
          </w:p>
        </w:tc>
      </w:tr>
      <w:tr w:rsidR="00CA7F75" w:rsidRPr="00FC154F" w14:paraId="63EE6E06" w14:textId="77777777" w:rsidTr="7DCEF4FC">
        <w:trPr>
          <w:trHeight w:val="481"/>
        </w:trPr>
        <w:tc>
          <w:tcPr>
            <w:tcW w:w="2263" w:type="dxa"/>
          </w:tcPr>
          <w:p w14:paraId="4F76CB78" w14:textId="77777777" w:rsidR="00CA7F75" w:rsidRPr="008E2508" w:rsidRDefault="7DCEF4FC" w:rsidP="7DCEF4FC">
            <w:pPr>
              <w:spacing w:before="0" w:after="120" w:line="276" w:lineRule="auto"/>
              <w:rPr>
                <w:rFonts w:cs="Arial"/>
              </w:rPr>
            </w:pPr>
            <w:r w:rsidRPr="7DCEF4FC">
              <w:rPr>
                <w:rFonts w:cs="Arial"/>
              </w:rPr>
              <w:lastRenderedPageBreak/>
              <w:t>Asset consumption ratio</w:t>
            </w:r>
          </w:p>
        </w:tc>
        <w:tc>
          <w:tcPr>
            <w:tcW w:w="4253" w:type="dxa"/>
          </w:tcPr>
          <w:p w14:paraId="1B689602" w14:textId="77777777" w:rsidR="00CA7F75" w:rsidRPr="008E2508" w:rsidRDefault="7DCEF4FC" w:rsidP="7DCEF4FC">
            <w:pPr>
              <w:spacing w:before="0" w:after="120" w:line="276" w:lineRule="auto"/>
              <w:rPr>
                <w:rFonts w:cs="Arial"/>
              </w:rPr>
            </w:pPr>
            <w:r w:rsidRPr="7DCEF4FC">
              <w:rPr>
                <w:rFonts w:cs="Arial"/>
              </w:rPr>
              <w:t>Depreciated replacement costs of depreciable assets / current replacement cost of depreciable assets</w:t>
            </w:r>
          </w:p>
        </w:tc>
        <w:tc>
          <w:tcPr>
            <w:tcW w:w="2500" w:type="dxa"/>
          </w:tcPr>
          <w:p w14:paraId="164F9548" w14:textId="77777777" w:rsidR="00CA7F75" w:rsidRPr="008E2508" w:rsidRDefault="7DCEF4FC" w:rsidP="7DCEF4FC">
            <w:pPr>
              <w:spacing w:before="0" w:after="120" w:line="276" w:lineRule="auto"/>
              <w:rPr>
                <w:rFonts w:cs="Arial"/>
              </w:rPr>
            </w:pPr>
            <w:r w:rsidRPr="7DCEF4FC">
              <w:rPr>
                <w:rFonts w:cs="Arial"/>
              </w:rPr>
              <w:t>Western Australia</w:t>
            </w:r>
          </w:p>
          <w:p w14:paraId="061EBABC" w14:textId="77777777" w:rsidR="00CA7F75" w:rsidRPr="008E2508" w:rsidRDefault="7DCEF4FC" w:rsidP="7DCEF4FC">
            <w:pPr>
              <w:spacing w:before="0" w:after="120" w:line="276" w:lineRule="auto"/>
              <w:rPr>
                <w:rFonts w:cs="Arial"/>
              </w:rPr>
            </w:pPr>
            <w:r w:rsidRPr="7DCEF4FC">
              <w:rPr>
                <w:rFonts w:cs="Arial"/>
              </w:rPr>
              <w:t>Tasmania</w:t>
            </w:r>
          </w:p>
        </w:tc>
      </w:tr>
      <w:tr w:rsidR="00CA7F75" w:rsidRPr="00FC154F" w14:paraId="7343A00F" w14:textId="77777777" w:rsidTr="7DCEF4FC">
        <w:trPr>
          <w:trHeight w:val="481"/>
        </w:trPr>
        <w:tc>
          <w:tcPr>
            <w:tcW w:w="2263" w:type="dxa"/>
          </w:tcPr>
          <w:p w14:paraId="4CFFD111" w14:textId="77777777" w:rsidR="00CA7F75" w:rsidRPr="008E2508" w:rsidRDefault="7DCEF4FC" w:rsidP="7DCEF4FC">
            <w:pPr>
              <w:spacing w:before="0" w:after="120" w:line="276" w:lineRule="auto"/>
              <w:rPr>
                <w:rFonts w:cs="Arial"/>
              </w:rPr>
            </w:pPr>
            <w:r w:rsidRPr="7DCEF4FC">
              <w:rPr>
                <w:rFonts w:cs="Arial"/>
              </w:rPr>
              <w:t>Asset renewal ratio</w:t>
            </w:r>
          </w:p>
        </w:tc>
        <w:tc>
          <w:tcPr>
            <w:tcW w:w="4253" w:type="dxa"/>
          </w:tcPr>
          <w:p w14:paraId="0D0460CE" w14:textId="77777777" w:rsidR="00CA7F75" w:rsidRPr="008E2508" w:rsidRDefault="7DCEF4FC" w:rsidP="7DCEF4FC">
            <w:pPr>
              <w:spacing w:before="0" w:after="120" w:line="276" w:lineRule="auto"/>
              <w:rPr>
                <w:rFonts w:cs="Arial"/>
              </w:rPr>
            </w:pPr>
            <w:r w:rsidRPr="7DCEF4FC">
              <w:rPr>
                <w:rFonts w:cs="Arial"/>
              </w:rPr>
              <w:t>Net present value of planned capital renewals over 10 years / net present value of required capital expenditure of 10 years</w:t>
            </w:r>
          </w:p>
        </w:tc>
        <w:tc>
          <w:tcPr>
            <w:tcW w:w="2500" w:type="dxa"/>
          </w:tcPr>
          <w:p w14:paraId="7C027A53" w14:textId="77777777" w:rsidR="00CA7F75" w:rsidRPr="008E2508" w:rsidRDefault="7DCEF4FC" w:rsidP="7DCEF4FC">
            <w:pPr>
              <w:spacing w:before="0" w:after="120" w:line="276" w:lineRule="auto"/>
              <w:rPr>
                <w:rFonts w:cs="Arial"/>
              </w:rPr>
            </w:pPr>
            <w:r w:rsidRPr="7DCEF4FC">
              <w:rPr>
                <w:rFonts w:cs="Arial"/>
              </w:rPr>
              <w:t>Western Australia</w:t>
            </w:r>
          </w:p>
          <w:p w14:paraId="061BCAE6" w14:textId="77777777" w:rsidR="00CA7F75" w:rsidRPr="008E2508" w:rsidRDefault="00CA7F75" w:rsidP="7DCEF4FC">
            <w:pPr>
              <w:spacing w:before="0" w:after="120" w:line="276" w:lineRule="auto"/>
              <w:rPr>
                <w:rFonts w:cs="Arial"/>
              </w:rPr>
            </w:pPr>
            <w:r w:rsidRPr="7DCEF4FC">
              <w:rPr>
                <w:rFonts w:cs="Arial"/>
              </w:rPr>
              <w:t>Tasmania</w:t>
            </w:r>
            <w:r w:rsidRPr="7DCEF4FC">
              <w:rPr>
                <w:rFonts w:cs="Arial"/>
                <w:vertAlign w:val="superscript"/>
              </w:rPr>
              <w:footnoteReference w:id="2"/>
            </w:r>
          </w:p>
        </w:tc>
      </w:tr>
      <w:tr w:rsidR="00CA7F75" w:rsidRPr="00FC154F" w14:paraId="732669EF" w14:textId="77777777" w:rsidTr="7DCEF4FC">
        <w:trPr>
          <w:trHeight w:val="481"/>
        </w:trPr>
        <w:tc>
          <w:tcPr>
            <w:tcW w:w="2263" w:type="dxa"/>
          </w:tcPr>
          <w:p w14:paraId="04605CBC" w14:textId="77777777" w:rsidR="00CA7F75" w:rsidRPr="008E2508" w:rsidRDefault="7DCEF4FC" w:rsidP="7DCEF4FC">
            <w:pPr>
              <w:spacing w:before="0" w:after="120" w:line="276" w:lineRule="auto"/>
              <w:rPr>
                <w:rFonts w:cs="Arial"/>
              </w:rPr>
            </w:pPr>
            <w:r w:rsidRPr="7DCEF4FC">
              <w:rPr>
                <w:rFonts w:cs="Arial"/>
              </w:rPr>
              <w:t>Asset sustainability ratio</w:t>
            </w:r>
          </w:p>
        </w:tc>
        <w:tc>
          <w:tcPr>
            <w:tcW w:w="4253" w:type="dxa"/>
          </w:tcPr>
          <w:p w14:paraId="7FD24061" w14:textId="77777777" w:rsidR="00CA7F75" w:rsidRPr="008E2508" w:rsidRDefault="7DCEF4FC" w:rsidP="7DCEF4FC">
            <w:pPr>
              <w:spacing w:before="0" w:after="120" w:line="276" w:lineRule="auto"/>
              <w:rPr>
                <w:rFonts w:cs="Arial"/>
              </w:rPr>
            </w:pPr>
            <w:r w:rsidRPr="7DCEF4FC">
              <w:rPr>
                <w:rFonts w:cs="Arial"/>
              </w:rPr>
              <w:t>Capital renewal and replacement expenditure / depreciation</w:t>
            </w:r>
          </w:p>
        </w:tc>
        <w:tc>
          <w:tcPr>
            <w:tcW w:w="2500" w:type="dxa"/>
          </w:tcPr>
          <w:p w14:paraId="3FFCD042" w14:textId="77777777" w:rsidR="00CA7F75" w:rsidRPr="008E2508" w:rsidRDefault="7DCEF4FC" w:rsidP="7DCEF4FC">
            <w:pPr>
              <w:spacing w:before="0" w:after="120" w:line="276" w:lineRule="auto"/>
              <w:rPr>
                <w:rFonts w:cs="Arial"/>
              </w:rPr>
            </w:pPr>
            <w:r w:rsidRPr="7DCEF4FC">
              <w:rPr>
                <w:rFonts w:cs="Arial"/>
              </w:rPr>
              <w:t>Western Australia</w:t>
            </w:r>
          </w:p>
          <w:p w14:paraId="60CE5A1A" w14:textId="77777777" w:rsidR="00CA7F75" w:rsidRPr="008E2508" w:rsidRDefault="7DCEF4FC" w:rsidP="7DCEF4FC">
            <w:pPr>
              <w:spacing w:before="0" w:after="120" w:line="276" w:lineRule="auto"/>
              <w:rPr>
                <w:rFonts w:cs="Arial"/>
              </w:rPr>
            </w:pPr>
            <w:r w:rsidRPr="7DCEF4FC">
              <w:rPr>
                <w:rFonts w:cs="Arial"/>
              </w:rPr>
              <w:t>Queensland</w:t>
            </w:r>
          </w:p>
          <w:p w14:paraId="67638763" w14:textId="77777777" w:rsidR="00CA7F75" w:rsidRPr="008E2508" w:rsidRDefault="7DCEF4FC" w:rsidP="7DCEF4FC">
            <w:pPr>
              <w:spacing w:before="0" w:after="120" w:line="276" w:lineRule="auto"/>
              <w:rPr>
                <w:rFonts w:cs="Arial"/>
              </w:rPr>
            </w:pPr>
            <w:r w:rsidRPr="7DCEF4FC">
              <w:rPr>
                <w:rFonts w:cs="Arial"/>
              </w:rPr>
              <w:t>South Australia</w:t>
            </w:r>
          </w:p>
          <w:p w14:paraId="704DC90A" w14:textId="77777777" w:rsidR="00CA7F75" w:rsidRPr="008E2508" w:rsidRDefault="7DCEF4FC" w:rsidP="7DCEF4FC">
            <w:pPr>
              <w:spacing w:before="0" w:after="120" w:line="276" w:lineRule="auto"/>
              <w:rPr>
                <w:rFonts w:cs="Arial"/>
              </w:rPr>
            </w:pPr>
            <w:r w:rsidRPr="7DCEF4FC">
              <w:rPr>
                <w:rFonts w:cs="Arial"/>
              </w:rPr>
              <w:t>Tasmania</w:t>
            </w:r>
          </w:p>
        </w:tc>
      </w:tr>
      <w:tr w:rsidR="00CA7F75" w:rsidRPr="00FC154F" w14:paraId="5AB13FD4" w14:textId="77777777" w:rsidTr="7DCEF4FC">
        <w:trPr>
          <w:trHeight w:val="481"/>
        </w:trPr>
        <w:tc>
          <w:tcPr>
            <w:tcW w:w="2263" w:type="dxa"/>
          </w:tcPr>
          <w:p w14:paraId="23BAE5D8" w14:textId="77777777" w:rsidR="00CA7F75" w:rsidRPr="008E2508" w:rsidRDefault="7DCEF4FC" w:rsidP="7DCEF4FC">
            <w:pPr>
              <w:spacing w:before="0" w:after="120" w:line="276" w:lineRule="auto"/>
              <w:rPr>
                <w:rFonts w:cs="Arial"/>
              </w:rPr>
            </w:pPr>
            <w:r w:rsidRPr="7DCEF4FC">
              <w:rPr>
                <w:rFonts w:cs="Arial"/>
              </w:rPr>
              <w:t>Debt service cover ratio / debt ratio</w:t>
            </w:r>
          </w:p>
        </w:tc>
        <w:tc>
          <w:tcPr>
            <w:tcW w:w="4253" w:type="dxa"/>
          </w:tcPr>
          <w:p w14:paraId="54105839" w14:textId="77777777" w:rsidR="00CA7F75" w:rsidRPr="008E2508" w:rsidRDefault="7DCEF4FC" w:rsidP="7DCEF4FC">
            <w:pPr>
              <w:spacing w:before="0" w:after="120" w:line="276" w:lineRule="auto"/>
              <w:rPr>
                <w:rFonts w:cs="Arial"/>
              </w:rPr>
            </w:pPr>
            <w:r w:rsidRPr="7DCEF4FC">
              <w:rPr>
                <w:rFonts w:cs="Arial"/>
              </w:rPr>
              <w:t>Annual operating surplus before interest and depreciation / principal and interest</w:t>
            </w:r>
          </w:p>
        </w:tc>
        <w:tc>
          <w:tcPr>
            <w:tcW w:w="2500" w:type="dxa"/>
          </w:tcPr>
          <w:p w14:paraId="12156ADC" w14:textId="77777777" w:rsidR="00CA7F75" w:rsidRPr="008E2508" w:rsidRDefault="7DCEF4FC" w:rsidP="7DCEF4FC">
            <w:pPr>
              <w:spacing w:before="0" w:after="120" w:line="276" w:lineRule="auto"/>
              <w:rPr>
                <w:rFonts w:cs="Arial"/>
              </w:rPr>
            </w:pPr>
            <w:r w:rsidRPr="7DCEF4FC">
              <w:rPr>
                <w:rFonts w:cs="Arial"/>
              </w:rPr>
              <w:t>Western Australia</w:t>
            </w:r>
          </w:p>
        </w:tc>
      </w:tr>
      <w:tr w:rsidR="00CA7F75" w:rsidRPr="00FC154F" w14:paraId="44522F6B" w14:textId="77777777" w:rsidTr="7DCEF4FC">
        <w:trPr>
          <w:trHeight w:val="481"/>
        </w:trPr>
        <w:tc>
          <w:tcPr>
            <w:tcW w:w="2263" w:type="dxa"/>
          </w:tcPr>
          <w:p w14:paraId="5CEA93E9" w14:textId="77777777" w:rsidR="00CA7F75" w:rsidRPr="008E2508" w:rsidRDefault="7DCEF4FC" w:rsidP="7DCEF4FC">
            <w:pPr>
              <w:spacing w:before="0" w:after="120" w:line="276" w:lineRule="auto"/>
              <w:rPr>
                <w:rFonts w:cs="Arial"/>
              </w:rPr>
            </w:pPr>
            <w:r w:rsidRPr="7DCEF4FC">
              <w:rPr>
                <w:rFonts w:cs="Arial"/>
              </w:rPr>
              <w:t xml:space="preserve">Debt service ratio (method two) </w:t>
            </w:r>
          </w:p>
        </w:tc>
        <w:tc>
          <w:tcPr>
            <w:tcW w:w="4253" w:type="dxa"/>
          </w:tcPr>
          <w:p w14:paraId="2E394110" w14:textId="77777777" w:rsidR="00CA7F75" w:rsidRPr="008E2508" w:rsidRDefault="7DCEF4FC" w:rsidP="7DCEF4FC">
            <w:pPr>
              <w:spacing w:before="0" w:after="120" w:line="276" w:lineRule="auto"/>
              <w:rPr>
                <w:rFonts w:cs="Arial"/>
              </w:rPr>
            </w:pPr>
            <w:r w:rsidRPr="7DCEF4FC">
              <w:rPr>
                <w:rFonts w:cs="Arial"/>
              </w:rPr>
              <w:t>Interest expense and principal repayments / operating revenue excluding capital grants and contributions</w:t>
            </w:r>
          </w:p>
        </w:tc>
        <w:tc>
          <w:tcPr>
            <w:tcW w:w="2500" w:type="dxa"/>
          </w:tcPr>
          <w:p w14:paraId="6581E079" w14:textId="77777777" w:rsidR="00CA7F75" w:rsidRPr="008E2508" w:rsidRDefault="7DCEF4FC" w:rsidP="7DCEF4FC">
            <w:pPr>
              <w:spacing w:before="0" w:after="120" w:line="276" w:lineRule="auto"/>
              <w:rPr>
                <w:rFonts w:cs="Arial"/>
              </w:rPr>
            </w:pPr>
            <w:r w:rsidRPr="7DCEF4FC">
              <w:rPr>
                <w:rFonts w:cs="Arial"/>
              </w:rPr>
              <w:t>New South Wales</w:t>
            </w:r>
          </w:p>
          <w:p w14:paraId="428D5DBF" w14:textId="77777777" w:rsidR="00CA7F75" w:rsidRPr="008E2508" w:rsidRDefault="7DCEF4FC" w:rsidP="7DCEF4FC">
            <w:pPr>
              <w:spacing w:before="0" w:after="120" w:line="276" w:lineRule="auto"/>
              <w:rPr>
                <w:rFonts w:cs="Arial"/>
              </w:rPr>
            </w:pPr>
            <w:r w:rsidRPr="7DCEF4FC">
              <w:rPr>
                <w:rFonts w:cs="Arial"/>
              </w:rPr>
              <w:t>Victoria</w:t>
            </w:r>
          </w:p>
        </w:tc>
      </w:tr>
      <w:tr w:rsidR="00CA7F75" w:rsidRPr="00FC154F" w14:paraId="5ED154EA" w14:textId="77777777" w:rsidTr="7DCEF4FC">
        <w:trPr>
          <w:trHeight w:val="481"/>
        </w:trPr>
        <w:tc>
          <w:tcPr>
            <w:tcW w:w="2263" w:type="dxa"/>
          </w:tcPr>
          <w:p w14:paraId="1FF1FD35" w14:textId="77777777" w:rsidR="00CA7F75" w:rsidRPr="008E2508" w:rsidRDefault="7DCEF4FC" w:rsidP="7DCEF4FC">
            <w:pPr>
              <w:spacing w:before="0" w:after="120" w:line="276" w:lineRule="auto"/>
              <w:rPr>
                <w:rFonts w:cs="Arial"/>
              </w:rPr>
            </w:pPr>
            <w:r w:rsidRPr="7DCEF4FC">
              <w:rPr>
                <w:rFonts w:cs="Arial"/>
              </w:rPr>
              <w:t>Operating surplus ratio / financial performance ratio</w:t>
            </w:r>
          </w:p>
        </w:tc>
        <w:tc>
          <w:tcPr>
            <w:tcW w:w="4253" w:type="dxa"/>
          </w:tcPr>
          <w:p w14:paraId="218B8BDC" w14:textId="77777777" w:rsidR="00CA7F75" w:rsidRPr="008E2508" w:rsidRDefault="7DCEF4FC" w:rsidP="7DCEF4FC">
            <w:pPr>
              <w:spacing w:before="0" w:after="120" w:line="276" w:lineRule="auto"/>
              <w:rPr>
                <w:rFonts w:cs="Arial"/>
              </w:rPr>
            </w:pPr>
            <w:r w:rsidRPr="7DCEF4FC">
              <w:rPr>
                <w:rFonts w:cs="Arial"/>
              </w:rPr>
              <w:t>Operating revenue – operating expense / own source operating revenue</w:t>
            </w:r>
          </w:p>
        </w:tc>
        <w:tc>
          <w:tcPr>
            <w:tcW w:w="2500" w:type="dxa"/>
          </w:tcPr>
          <w:p w14:paraId="018133D8" w14:textId="77777777" w:rsidR="00CA7F75" w:rsidRPr="008E2508" w:rsidRDefault="7DCEF4FC" w:rsidP="7DCEF4FC">
            <w:pPr>
              <w:spacing w:before="0" w:after="120" w:line="276" w:lineRule="auto"/>
              <w:rPr>
                <w:rFonts w:cs="Arial"/>
              </w:rPr>
            </w:pPr>
            <w:r w:rsidRPr="7DCEF4FC">
              <w:rPr>
                <w:rFonts w:cs="Arial"/>
              </w:rPr>
              <w:t>Western Australia</w:t>
            </w:r>
          </w:p>
          <w:p w14:paraId="54AE8C6E" w14:textId="77777777" w:rsidR="00CA7F75" w:rsidRPr="008E2508" w:rsidRDefault="7DCEF4FC" w:rsidP="7DCEF4FC">
            <w:pPr>
              <w:spacing w:before="0" w:after="120" w:line="276" w:lineRule="auto"/>
              <w:rPr>
                <w:rFonts w:cs="Arial"/>
              </w:rPr>
            </w:pPr>
            <w:r w:rsidRPr="7DCEF4FC">
              <w:rPr>
                <w:rFonts w:cs="Arial"/>
              </w:rPr>
              <w:t>New South Wales</w:t>
            </w:r>
          </w:p>
          <w:p w14:paraId="474E432F" w14:textId="77777777" w:rsidR="00CA7F75" w:rsidRPr="008E2508" w:rsidRDefault="7DCEF4FC" w:rsidP="7DCEF4FC">
            <w:pPr>
              <w:spacing w:before="0" w:after="120" w:line="276" w:lineRule="auto"/>
              <w:rPr>
                <w:rFonts w:cs="Arial"/>
              </w:rPr>
            </w:pPr>
            <w:r w:rsidRPr="7DCEF4FC">
              <w:rPr>
                <w:rFonts w:cs="Arial"/>
              </w:rPr>
              <w:t>Queensland</w:t>
            </w:r>
          </w:p>
          <w:p w14:paraId="2074449B" w14:textId="77777777" w:rsidR="00CA7F75" w:rsidRPr="008E2508" w:rsidRDefault="7DCEF4FC" w:rsidP="7DCEF4FC">
            <w:pPr>
              <w:spacing w:before="0" w:after="120" w:line="276" w:lineRule="auto"/>
              <w:rPr>
                <w:rFonts w:cs="Arial"/>
              </w:rPr>
            </w:pPr>
            <w:r w:rsidRPr="7DCEF4FC">
              <w:rPr>
                <w:rFonts w:cs="Arial"/>
              </w:rPr>
              <w:t>South Australia</w:t>
            </w:r>
          </w:p>
          <w:p w14:paraId="2778C2AE" w14:textId="77777777" w:rsidR="00CA7F75" w:rsidRPr="008E2508" w:rsidRDefault="7DCEF4FC" w:rsidP="7DCEF4FC">
            <w:pPr>
              <w:spacing w:before="0" w:after="120" w:line="276" w:lineRule="auto"/>
              <w:rPr>
                <w:rFonts w:cs="Arial"/>
              </w:rPr>
            </w:pPr>
            <w:r w:rsidRPr="7DCEF4FC">
              <w:rPr>
                <w:rFonts w:cs="Arial"/>
              </w:rPr>
              <w:t>Tasmania</w:t>
            </w:r>
          </w:p>
        </w:tc>
      </w:tr>
      <w:tr w:rsidR="00CA7F75" w:rsidRPr="00FC154F" w14:paraId="25D41404" w14:textId="77777777" w:rsidTr="7DCEF4FC">
        <w:trPr>
          <w:trHeight w:val="481"/>
        </w:trPr>
        <w:tc>
          <w:tcPr>
            <w:tcW w:w="2263" w:type="dxa"/>
          </w:tcPr>
          <w:p w14:paraId="1FB38EB2" w14:textId="77777777" w:rsidR="00CA7F75" w:rsidRPr="008E2508" w:rsidRDefault="7DCEF4FC" w:rsidP="7DCEF4FC">
            <w:pPr>
              <w:spacing w:before="0" w:after="120" w:line="276" w:lineRule="auto"/>
              <w:rPr>
                <w:rFonts w:cs="Arial"/>
              </w:rPr>
            </w:pPr>
            <w:r w:rsidRPr="7DCEF4FC">
              <w:rPr>
                <w:rFonts w:cs="Arial"/>
              </w:rPr>
              <w:t>Own source revenue / coverage ratio</w:t>
            </w:r>
          </w:p>
        </w:tc>
        <w:tc>
          <w:tcPr>
            <w:tcW w:w="4253" w:type="dxa"/>
          </w:tcPr>
          <w:p w14:paraId="4675F58A" w14:textId="77777777" w:rsidR="00CA7F75" w:rsidRPr="008E2508" w:rsidRDefault="7DCEF4FC" w:rsidP="7DCEF4FC">
            <w:pPr>
              <w:spacing w:before="0" w:after="120" w:line="276" w:lineRule="auto"/>
              <w:rPr>
                <w:rFonts w:cs="Arial"/>
              </w:rPr>
            </w:pPr>
            <w:r w:rsidRPr="7DCEF4FC">
              <w:rPr>
                <w:rFonts w:cs="Arial"/>
              </w:rPr>
              <w:t>Own source operating revenue / operating expense</w:t>
            </w:r>
          </w:p>
        </w:tc>
        <w:tc>
          <w:tcPr>
            <w:tcW w:w="2500" w:type="dxa"/>
          </w:tcPr>
          <w:p w14:paraId="365995C9" w14:textId="77777777" w:rsidR="00CA7F75" w:rsidRPr="008E2508" w:rsidRDefault="7DCEF4FC" w:rsidP="7DCEF4FC">
            <w:pPr>
              <w:spacing w:before="0" w:after="120" w:line="276" w:lineRule="auto"/>
              <w:rPr>
                <w:rFonts w:cs="Arial"/>
              </w:rPr>
            </w:pPr>
            <w:r w:rsidRPr="7DCEF4FC">
              <w:rPr>
                <w:rFonts w:cs="Arial"/>
              </w:rPr>
              <w:t>Western Australia</w:t>
            </w:r>
          </w:p>
        </w:tc>
      </w:tr>
      <w:tr w:rsidR="00CA7F75" w:rsidRPr="00FC154F" w14:paraId="1D635087" w14:textId="77777777" w:rsidTr="7DCEF4FC">
        <w:trPr>
          <w:trHeight w:val="481"/>
        </w:trPr>
        <w:tc>
          <w:tcPr>
            <w:tcW w:w="2263" w:type="dxa"/>
          </w:tcPr>
          <w:p w14:paraId="5410A8AE" w14:textId="77777777" w:rsidR="00CA7F75" w:rsidRPr="008E2508" w:rsidRDefault="7DCEF4FC" w:rsidP="7DCEF4FC">
            <w:pPr>
              <w:spacing w:before="0" w:after="120" w:line="276" w:lineRule="auto"/>
              <w:rPr>
                <w:rFonts w:cs="Arial"/>
              </w:rPr>
            </w:pPr>
            <w:r w:rsidRPr="7DCEF4FC">
              <w:rPr>
                <w:rFonts w:cs="Arial"/>
              </w:rPr>
              <w:t>Own source revenue ratio (method two)</w:t>
            </w:r>
          </w:p>
        </w:tc>
        <w:tc>
          <w:tcPr>
            <w:tcW w:w="4253" w:type="dxa"/>
          </w:tcPr>
          <w:p w14:paraId="1E240324" w14:textId="77777777" w:rsidR="00CA7F75" w:rsidRPr="008E2508" w:rsidRDefault="7DCEF4FC" w:rsidP="7DCEF4FC">
            <w:pPr>
              <w:spacing w:before="0" w:after="120" w:line="276" w:lineRule="auto"/>
              <w:rPr>
                <w:rFonts w:cs="Arial"/>
              </w:rPr>
            </w:pPr>
            <w:r w:rsidRPr="7DCEF4FC">
              <w:rPr>
                <w:rFonts w:cs="Arial"/>
              </w:rPr>
              <w:t>Total continuing operating revenue – all grants and contributions / total continuing operating revenue including capital grants and contributions</w:t>
            </w:r>
          </w:p>
        </w:tc>
        <w:tc>
          <w:tcPr>
            <w:tcW w:w="2500" w:type="dxa"/>
          </w:tcPr>
          <w:p w14:paraId="66992D14" w14:textId="77777777" w:rsidR="00CA7F75" w:rsidRPr="008E2508" w:rsidRDefault="7DCEF4FC" w:rsidP="7DCEF4FC">
            <w:pPr>
              <w:spacing w:before="0" w:after="120" w:line="276" w:lineRule="auto"/>
              <w:rPr>
                <w:rFonts w:cs="Arial"/>
              </w:rPr>
            </w:pPr>
            <w:r w:rsidRPr="7DCEF4FC">
              <w:rPr>
                <w:rFonts w:cs="Arial"/>
              </w:rPr>
              <w:t>New South Wales</w:t>
            </w:r>
          </w:p>
        </w:tc>
      </w:tr>
      <w:tr w:rsidR="00CA7F75" w:rsidRPr="00FC154F" w14:paraId="636EA3B3" w14:textId="77777777" w:rsidTr="7DCEF4FC">
        <w:trPr>
          <w:trHeight w:val="481"/>
        </w:trPr>
        <w:tc>
          <w:tcPr>
            <w:tcW w:w="2263" w:type="dxa"/>
          </w:tcPr>
          <w:p w14:paraId="061512FA" w14:textId="77777777" w:rsidR="00CA7F75" w:rsidRPr="008E2508" w:rsidRDefault="7DCEF4FC" w:rsidP="7DCEF4FC">
            <w:pPr>
              <w:spacing w:before="0" w:after="120" w:line="276" w:lineRule="auto"/>
              <w:rPr>
                <w:rFonts w:cs="Arial"/>
              </w:rPr>
            </w:pPr>
            <w:r w:rsidRPr="7DCEF4FC">
              <w:rPr>
                <w:rFonts w:cs="Arial"/>
              </w:rPr>
              <w:lastRenderedPageBreak/>
              <w:t>Rates, annual charges, interest and extra charges outstanding percentage ratio</w:t>
            </w:r>
          </w:p>
        </w:tc>
        <w:tc>
          <w:tcPr>
            <w:tcW w:w="4253" w:type="dxa"/>
          </w:tcPr>
          <w:p w14:paraId="7185C2AE" w14:textId="77777777" w:rsidR="00CA7F75" w:rsidRPr="008E2508" w:rsidRDefault="7DCEF4FC" w:rsidP="7DCEF4FC">
            <w:pPr>
              <w:spacing w:before="0" w:after="120" w:line="276" w:lineRule="auto"/>
              <w:rPr>
                <w:rFonts w:cs="Arial"/>
              </w:rPr>
            </w:pPr>
            <w:r w:rsidRPr="7DCEF4FC">
              <w:rPr>
                <w:rFonts w:cs="Arial"/>
              </w:rPr>
              <w:t>Rates, annual and extra charges outstanding / rates, annual and extra charges collectible</w:t>
            </w:r>
          </w:p>
        </w:tc>
        <w:tc>
          <w:tcPr>
            <w:tcW w:w="2500" w:type="dxa"/>
          </w:tcPr>
          <w:p w14:paraId="338A8074" w14:textId="77777777" w:rsidR="00CA7F75" w:rsidRPr="008E2508" w:rsidRDefault="7DCEF4FC" w:rsidP="7DCEF4FC">
            <w:pPr>
              <w:spacing w:before="0" w:after="120" w:line="276" w:lineRule="auto"/>
              <w:rPr>
                <w:rFonts w:cs="Arial"/>
              </w:rPr>
            </w:pPr>
            <w:r w:rsidRPr="7DCEF4FC">
              <w:rPr>
                <w:rFonts w:cs="Arial"/>
              </w:rPr>
              <w:t>New South Wales</w:t>
            </w:r>
          </w:p>
        </w:tc>
      </w:tr>
      <w:tr w:rsidR="00CA7F75" w:rsidRPr="00FC154F" w14:paraId="7CAD300F" w14:textId="77777777" w:rsidTr="7DCEF4FC">
        <w:trPr>
          <w:trHeight w:val="481"/>
        </w:trPr>
        <w:tc>
          <w:tcPr>
            <w:tcW w:w="2263" w:type="dxa"/>
          </w:tcPr>
          <w:p w14:paraId="268B07C2" w14:textId="77777777" w:rsidR="00CA7F75" w:rsidRPr="008E2508" w:rsidRDefault="7DCEF4FC" w:rsidP="7DCEF4FC">
            <w:pPr>
              <w:spacing w:before="0" w:after="120" w:line="276" w:lineRule="auto"/>
              <w:rPr>
                <w:rFonts w:cs="Arial"/>
              </w:rPr>
            </w:pPr>
            <w:r w:rsidRPr="7DCEF4FC">
              <w:rPr>
                <w:rFonts w:cs="Arial"/>
              </w:rPr>
              <w:t>Cash expense cover ratio</w:t>
            </w:r>
          </w:p>
        </w:tc>
        <w:tc>
          <w:tcPr>
            <w:tcW w:w="4253" w:type="dxa"/>
          </w:tcPr>
          <w:p w14:paraId="3EB56F60" w14:textId="77777777" w:rsidR="00CA7F75" w:rsidRPr="008E2508" w:rsidRDefault="7DCEF4FC" w:rsidP="7DCEF4FC">
            <w:pPr>
              <w:spacing w:before="0" w:after="120" w:line="276" w:lineRule="auto"/>
              <w:rPr>
                <w:rFonts w:cs="Arial"/>
              </w:rPr>
            </w:pPr>
            <w:r w:rsidRPr="7DCEF4FC">
              <w:rPr>
                <w:rFonts w:cs="Arial"/>
              </w:rPr>
              <w:t>Current year’s cash and cash equivalents + all term deposits / payment from cash flow of operating and financing activities</w:t>
            </w:r>
          </w:p>
        </w:tc>
        <w:tc>
          <w:tcPr>
            <w:tcW w:w="2500" w:type="dxa"/>
          </w:tcPr>
          <w:p w14:paraId="517E7DCE" w14:textId="77777777" w:rsidR="00CA7F75" w:rsidRPr="008E2508" w:rsidRDefault="7DCEF4FC" w:rsidP="7DCEF4FC">
            <w:pPr>
              <w:spacing w:before="0" w:after="120" w:line="276" w:lineRule="auto"/>
              <w:rPr>
                <w:rFonts w:cs="Arial"/>
              </w:rPr>
            </w:pPr>
            <w:r w:rsidRPr="7DCEF4FC">
              <w:rPr>
                <w:rFonts w:cs="Arial"/>
              </w:rPr>
              <w:t>New South Wales</w:t>
            </w:r>
          </w:p>
        </w:tc>
      </w:tr>
      <w:tr w:rsidR="00CA7F75" w:rsidRPr="00FC154F" w14:paraId="2B87C291" w14:textId="77777777" w:rsidTr="7DCEF4FC">
        <w:trPr>
          <w:trHeight w:val="481"/>
        </w:trPr>
        <w:tc>
          <w:tcPr>
            <w:tcW w:w="2263" w:type="dxa"/>
          </w:tcPr>
          <w:p w14:paraId="1B19A2B1" w14:textId="77777777" w:rsidR="00CA7F75" w:rsidRPr="008E2508" w:rsidRDefault="7DCEF4FC" w:rsidP="7DCEF4FC">
            <w:pPr>
              <w:spacing w:before="0" w:after="120" w:line="276" w:lineRule="auto"/>
              <w:rPr>
                <w:rFonts w:cs="Arial"/>
              </w:rPr>
            </w:pPr>
            <w:r w:rsidRPr="7DCEF4FC">
              <w:rPr>
                <w:rFonts w:cs="Arial"/>
              </w:rPr>
              <w:t>Debt commitment ratio</w:t>
            </w:r>
          </w:p>
        </w:tc>
        <w:tc>
          <w:tcPr>
            <w:tcW w:w="4253" w:type="dxa"/>
          </w:tcPr>
          <w:p w14:paraId="418321DD" w14:textId="77777777" w:rsidR="00CA7F75" w:rsidRPr="008E2508" w:rsidRDefault="7DCEF4FC" w:rsidP="7DCEF4FC">
            <w:pPr>
              <w:spacing w:before="0" w:after="120" w:line="276" w:lineRule="auto"/>
              <w:rPr>
                <w:rFonts w:cs="Arial"/>
              </w:rPr>
            </w:pPr>
            <w:r w:rsidRPr="7DCEF4FC">
              <w:rPr>
                <w:rFonts w:cs="Arial"/>
              </w:rPr>
              <w:t>Debt servicing and redemption costs / rate revenue</w:t>
            </w:r>
          </w:p>
        </w:tc>
        <w:tc>
          <w:tcPr>
            <w:tcW w:w="2500" w:type="dxa"/>
          </w:tcPr>
          <w:p w14:paraId="5EB6F2A6" w14:textId="77777777" w:rsidR="00CA7F75" w:rsidRPr="008E2508" w:rsidRDefault="7DCEF4FC" w:rsidP="7DCEF4FC">
            <w:pPr>
              <w:spacing w:before="0" w:after="120" w:line="276" w:lineRule="auto"/>
              <w:rPr>
                <w:rFonts w:cs="Arial"/>
              </w:rPr>
            </w:pPr>
            <w:r w:rsidRPr="7DCEF4FC">
              <w:rPr>
                <w:rFonts w:cs="Arial"/>
              </w:rPr>
              <w:t>Victoria</w:t>
            </w:r>
          </w:p>
        </w:tc>
      </w:tr>
      <w:tr w:rsidR="00CA7F75" w:rsidRPr="00FC154F" w14:paraId="4F51C3B7" w14:textId="77777777" w:rsidTr="7DCEF4FC">
        <w:trPr>
          <w:trHeight w:val="481"/>
        </w:trPr>
        <w:tc>
          <w:tcPr>
            <w:tcW w:w="2263" w:type="dxa"/>
          </w:tcPr>
          <w:p w14:paraId="123FFC9C" w14:textId="77777777" w:rsidR="00CA7F75" w:rsidRPr="008E2508" w:rsidRDefault="7DCEF4FC" w:rsidP="7DCEF4FC">
            <w:pPr>
              <w:spacing w:before="0" w:after="120" w:line="276" w:lineRule="auto"/>
              <w:rPr>
                <w:rFonts w:cs="Arial"/>
              </w:rPr>
            </w:pPr>
            <w:r w:rsidRPr="7DCEF4FC">
              <w:rPr>
                <w:rFonts w:cs="Arial"/>
              </w:rPr>
              <w:t>Revenue ratio</w:t>
            </w:r>
          </w:p>
        </w:tc>
        <w:tc>
          <w:tcPr>
            <w:tcW w:w="4253" w:type="dxa"/>
          </w:tcPr>
          <w:p w14:paraId="3BCAAE89" w14:textId="77777777" w:rsidR="00CA7F75" w:rsidRPr="008E2508" w:rsidRDefault="7DCEF4FC" w:rsidP="7DCEF4FC">
            <w:pPr>
              <w:spacing w:before="0" w:after="120" w:line="276" w:lineRule="auto"/>
              <w:rPr>
                <w:rFonts w:cs="Arial"/>
              </w:rPr>
            </w:pPr>
            <w:r w:rsidRPr="7DCEF4FC">
              <w:rPr>
                <w:rFonts w:cs="Arial"/>
              </w:rPr>
              <w:t>Rate revenue / total revenue</w:t>
            </w:r>
          </w:p>
        </w:tc>
        <w:tc>
          <w:tcPr>
            <w:tcW w:w="2500" w:type="dxa"/>
          </w:tcPr>
          <w:p w14:paraId="69968AA5" w14:textId="77777777" w:rsidR="00CA7F75" w:rsidRPr="008E2508" w:rsidRDefault="7DCEF4FC" w:rsidP="7DCEF4FC">
            <w:pPr>
              <w:spacing w:before="0" w:after="120" w:line="276" w:lineRule="auto"/>
              <w:rPr>
                <w:rFonts w:cs="Arial"/>
              </w:rPr>
            </w:pPr>
            <w:r w:rsidRPr="7DCEF4FC">
              <w:rPr>
                <w:rFonts w:cs="Arial"/>
              </w:rPr>
              <w:t>Victoria</w:t>
            </w:r>
          </w:p>
        </w:tc>
      </w:tr>
      <w:tr w:rsidR="00CA7F75" w:rsidRPr="00FC154F" w14:paraId="7009A99C" w14:textId="77777777" w:rsidTr="7DCEF4FC">
        <w:trPr>
          <w:trHeight w:val="481"/>
        </w:trPr>
        <w:tc>
          <w:tcPr>
            <w:tcW w:w="2263" w:type="dxa"/>
          </w:tcPr>
          <w:p w14:paraId="0ECE3347" w14:textId="77777777" w:rsidR="00CA7F75" w:rsidRPr="008E2508" w:rsidRDefault="7DCEF4FC" w:rsidP="7DCEF4FC">
            <w:pPr>
              <w:spacing w:before="0" w:after="120" w:line="276" w:lineRule="auto"/>
              <w:rPr>
                <w:rFonts w:cs="Arial"/>
              </w:rPr>
            </w:pPr>
            <w:r w:rsidRPr="7DCEF4FC">
              <w:rPr>
                <w:rFonts w:cs="Arial"/>
              </w:rPr>
              <w:t>Debt exposure ratio</w:t>
            </w:r>
          </w:p>
        </w:tc>
        <w:tc>
          <w:tcPr>
            <w:tcW w:w="4253" w:type="dxa"/>
          </w:tcPr>
          <w:p w14:paraId="1791DE92" w14:textId="77777777" w:rsidR="00CA7F75" w:rsidRPr="008E2508" w:rsidRDefault="7DCEF4FC" w:rsidP="7DCEF4FC">
            <w:pPr>
              <w:spacing w:before="0" w:after="120" w:line="276" w:lineRule="auto"/>
              <w:rPr>
                <w:rFonts w:cs="Arial"/>
              </w:rPr>
            </w:pPr>
            <w:r w:rsidRPr="7DCEF4FC">
              <w:rPr>
                <w:rFonts w:cs="Arial"/>
              </w:rPr>
              <w:t>Total indebtedness / total realisable assets</w:t>
            </w:r>
          </w:p>
        </w:tc>
        <w:tc>
          <w:tcPr>
            <w:tcW w:w="2500" w:type="dxa"/>
          </w:tcPr>
          <w:p w14:paraId="52144E38" w14:textId="77777777" w:rsidR="00CA7F75" w:rsidRPr="008E2508" w:rsidRDefault="7DCEF4FC" w:rsidP="7DCEF4FC">
            <w:pPr>
              <w:spacing w:before="0" w:after="120" w:line="276" w:lineRule="auto"/>
              <w:rPr>
                <w:rFonts w:cs="Arial"/>
              </w:rPr>
            </w:pPr>
            <w:r w:rsidRPr="7DCEF4FC">
              <w:rPr>
                <w:rFonts w:cs="Arial"/>
              </w:rPr>
              <w:t>Victoria</w:t>
            </w:r>
          </w:p>
        </w:tc>
      </w:tr>
      <w:tr w:rsidR="00CA7F75" w:rsidRPr="00FC154F" w14:paraId="283D67C3" w14:textId="77777777" w:rsidTr="7DCEF4FC">
        <w:trPr>
          <w:trHeight w:val="481"/>
        </w:trPr>
        <w:tc>
          <w:tcPr>
            <w:tcW w:w="2263" w:type="dxa"/>
          </w:tcPr>
          <w:p w14:paraId="3DBCBBC2" w14:textId="77777777" w:rsidR="00CA7F75" w:rsidRPr="008E2508" w:rsidRDefault="7DCEF4FC" w:rsidP="7DCEF4FC">
            <w:pPr>
              <w:spacing w:before="0" w:after="120" w:line="276" w:lineRule="auto"/>
              <w:rPr>
                <w:rFonts w:cs="Arial"/>
              </w:rPr>
            </w:pPr>
            <w:r w:rsidRPr="7DCEF4FC">
              <w:rPr>
                <w:rFonts w:cs="Arial"/>
              </w:rPr>
              <w:t>Net financial liabilities ratio</w:t>
            </w:r>
          </w:p>
        </w:tc>
        <w:tc>
          <w:tcPr>
            <w:tcW w:w="4253" w:type="dxa"/>
          </w:tcPr>
          <w:p w14:paraId="0C7BE582" w14:textId="77777777" w:rsidR="00CA7F75" w:rsidRPr="008E2508" w:rsidRDefault="7DCEF4FC" w:rsidP="7DCEF4FC">
            <w:pPr>
              <w:spacing w:before="0" w:after="120" w:line="276" w:lineRule="auto"/>
              <w:rPr>
                <w:rFonts w:cs="Arial"/>
              </w:rPr>
            </w:pPr>
            <w:r w:rsidRPr="7DCEF4FC">
              <w:rPr>
                <w:rFonts w:cs="Arial"/>
              </w:rPr>
              <w:t>Total liabilities – current assets / total operating revenue – capital items</w:t>
            </w:r>
          </w:p>
        </w:tc>
        <w:tc>
          <w:tcPr>
            <w:tcW w:w="2500" w:type="dxa"/>
          </w:tcPr>
          <w:p w14:paraId="08207283" w14:textId="77777777" w:rsidR="00CA7F75" w:rsidRPr="008E2508" w:rsidRDefault="7DCEF4FC" w:rsidP="7DCEF4FC">
            <w:pPr>
              <w:spacing w:before="0" w:after="120" w:line="276" w:lineRule="auto"/>
              <w:rPr>
                <w:rFonts w:cs="Arial"/>
              </w:rPr>
            </w:pPr>
            <w:r w:rsidRPr="7DCEF4FC">
              <w:rPr>
                <w:rFonts w:cs="Arial"/>
              </w:rPr>
              <w:t>Queensland</w:t>
            </w:r>
          </w:p>
          <w:p w14:paraId="5FD5CD9A" w14:textId="77777777" w:rsidR="00CA7F75" w:rsidRPr="008E2508" w:rsidRDefault="7DCEF4FC" w:rsidP="7DCEF4FC">
            <w:pPr>
              <w:spacing w:before="0" w:after="120" w:line="276" w:lineRule="auto"/>
              <w:rPr>
                <w:rFonts w:cs="Arial"/>
              </w:rPr>
            </w:pPr>
            <w:r w:rsidRPr="7DCEF4FC">
              <w:rPr>
                <w:rFonts w:cs="Arial"/>
              </w:rPr>
              <w:t>South Australia</w:t>
            </w:r>
          </w:p>
        </w:tc>
      </w:tr>
      <w:tr w:rsidR="00CA7F75" w:rsidRPr="00FC154F" w14:paraId="1A9B07AC" w14:textId="77777777" w:rsidTr="7DCEF4FC">
        <w:trPr>
          <w:trHeight w:val="481"/>
        </w:trPr>
        <w:tc>
          <w:tcPr>
            <w:tcW w:w="2263" w:type="dxa"/>
          </w:tcPr>
          <w:p w14:paraId="56C25D02" w14:textId="77777777" w:rsidR="00CA7F75" w:rsidRPr="008E2508" w:rsidRDefault="7DCEF4FC" w:rsidP="7DCEF4FC">
            <w:pPr>
              <w:spacing w:before="0" w:after="120" w:line="276" w:lineRule="auto"/>
              <w:rPr>
                <w:rFonts w:cs="Arial"/>
              </w:rPr>
            </w:pPr>
            <w:r w:rsidRPr="7DCEF4FC">
              <w:rPr>
                <w:rFonts w:cs="Arial"/>
              </w:rPr>
              <w:t>Net financial liabilities ratio variation</w:t>
            </w:r>
          </w:p>
        </w:tc>
        <w:tc>
          <w:tcPr>
            <w:tcW w:w="4253" w:type="dxa"/>
          </w:tcPr>
          <w:p w14:paraId="79770644" w14:textId="77777777" w:rsidR="00CA7F75" w:rsidRPr="008E2508" w:rsidRDefault="7DCEF4FC" w:rsidP="7DCEF4FC">
            <w:pPr>
              <w:spacing w:before="0" w:after="120" w:line="276" w:lineRule="auto"/>
              <w:rPr>
                <w:rFonts w:cs="Arial"/>
              </w:rPr>
            </w:pPr>
            <w:r w:rsidRPr="7DCEF4FC">
              <w:rPr>
                <w:rFonts w:cs="Arial"/>
              </w:rPr>
              <w:t>Total liabilities – current assets / total operating revenue – operating expenses</w:t>
            </w:r>
          </w:p>
        </w:tc>
        <w:tc>
          <w:tcPr>
            <w:tcW w:w="2500" w:type="dxa"/>
          </w:tcPr>
          <w:p w14:paraId="66385829" w14:textId="77777777" w:rsidR="00CA7F75" w:rsidRPr="008E2508" w:rsidRDefault="7DCEF4FC" w:rsidP="7DCEF4FC">
            <w:pPr>
              <w:spacing w:before="0" w:after="120" w:line="276" w:lineRule="auto"/>
              <w:rPr>
                <w:rFonts w:cs="Arial"/>
              </w:rPr>
            </w:pPr>
            <w:r w:rsidRPr="7DCEF4FC">
              <w:rPr>
                <w:rFonts w:cs="Arial"/>
              </w:rPr>
              <w:t>Tasmania</w:t>
            </w:r>
          </w:p>
        </w:tc>
      </w:tr>
    </w:tbl>
    <w:p w14:paraId="4881FEBE" w14:textId="77777777" w:rsidR="00CA7F75" w:rsidRPr="00FC154F" w:rsidRDefault="00CA7F75" w:rsidP="00CA7F75">
      <w:pPr>
        <w:spacing w:after="120" w:line="276" w:lineRule="auto"/>
        <w:rPr>
          <w:rFonts w:ascii="Arial" w:hAnsi="Arial" w:cs="Arial"/>
        </w:rPr>
      </w:pPr>
    </w:p>
    <w:p w14:paraId="3E168DC6" w14:textId="4E77E5B3" w:rsidR="00CA7F75" w:rsidRPr="003D1D96" w:rsidRDefault="7DCEF4FC" w:rsidP="7DCEF4FC">
      <w:pPr>
        <w:spacing w:after="120" w:line="276" w:lineRule="auto"/>
        <w:jc w:val="both"/>
        <w:rPr>
          <w:rFonts w:ascii="Arial" w:hAnsi="Arial" w:cs="Arial"/>
          <w:sz w:val="24"/>
          <w:szCs w:val="24"/>
        </w:rPr>
      </w:pPr>
      <w:r w:rsidRPr="7DCEF4FC">
        <w:rPr>
          <w:rFonts w:ascii="Arial" w:hAnsi="Arial" w:cs="Arial"/>
          <w:sz w:val="24"/>
          <w:szCs w:val="24"/>
        </w:rPr>
        <w:t>In Western Australia, benchmarks for the seven ratios that local governments must report on were set in Departmental guidelines published in 2013. While these benchmarks are not legislated, the use of the benchmarks to inform the Department’s risk management approach means that they are of considerable interest to local governments.</w:t>
      </w:r>
    </w:p>
    <w:tbl>
      <w:tblPr>
        <w:tblStyle w:val="DLGCTable-Form3"/>
        <w:tblW w:w="9067" w:type="dxa"/>
        <w:tblLayout w:type="fixed"/>
        <w:tblLook w:val="04A0" w:firstRow="1" w:lastRow="0" w:firstColumn="1" w:lastColumn="0" w:noHBand="0" w:noVBand="1"/>
      </w:tblPr>
      <w:tblGrid>
        <w:gridCol w:w="3256"/>
        <w:gridCol w:w="5811"/>
      </w:tblGrid>
      <w:tr w:rsidR="00C900CA" w:rsidRPr="00C900CA" w14:paraId="261381E9" w14:textId="77777777" w:rsidTr="7DCEF4FC">
        <w:trPr>
          <w:cnfStyle w:val="100000000000" w:firstRow="1" w:lastRow="0" w:firstColumn="0" w:lastColumn="0" w:oddVBand="0" w:evenVBand="0" w:oddHBand="0" w:evenHBand="0" w:firstRowFirstColumn="0" w:firstRowLastColumn="0" w:lastRowFirstColumn="0" w:lastRowLastColumn="0"/>
          <w:trHeight w:val="796"/>
        </w:trPr>
        <w:tc>
          <w:tcPr>
            <w:tcW w:w="3256" w:type="dxa"/>
            <w:shd w:val="clear" w:color="auto" w:fill="C0311A"/>
          </w:tcPr>
          <w:p w14:paraId="0249BB1A" w14:textId="77777777" w:rsidR="00CA7F75" w:rsidRPr="008E2508" w:rsidRDefault="7DCEF4FC" w:rsidP="7DCEF4FC">
            <w:pPr>
              <w:spacing w:before="0" w:after="120" w:line="276" w:lineRule="auto"/>
              <w:rPr>
                <w:rFonts w:cs="Arial"/>
                <w:color w:val="FFFFFF" w:themeColor="background1"/>
              </w:rPr>
            </w:pPr>
            <w:r w:rsidRPr="7DCEF4FC">
              <w:rPr>
                <w:rFonts w:cs="Arial"/>
                <w:color w:val="FFFFFF" w:themeColor="background1"/>
              </w:rPr>
              <w:t>Ratio</w:t>
            </w:r>
          </w:p>
        </w:tc>
        <w:tc>
          <w:tcPr>
            <w:tcW w:w="5811" w:type="dxa"/>
            <w:shd w:val="clear" w:color="auto" w:fill="C0311A"/>
          </w:tcPr>
          <w:p w14:paraId="619B8393" w14:textId="77777777" w:rsidR="00CA7F75" w:rsidRPr="008E2508" w:rsidRDefault="7DCEF4FC" w:rsidP="7DCEF4FC">
            <w:pPr>
              <w:spacing w:before="0" w:after="120" w:line="276" w:lineRule="auto"/>
              <w:rPr>
                <w:rFonts w:cs="Arial"/>
                <w:color w:val="FFFFFF" w:themeColor="background1"/>
              </w:rPr>
            </w:pPr>
            <w:r w:rsidRPr="7DCEF4FC">
              <w:rPr>
                <w:rFonts w:cs="Arial"/>
                <w:color w:val="FFFFFF" w:themeColor="background1"/>
              </w:rPr>
              <w:t>Benchmark</w:t>
            </w:r>
          </w:p>
        </w:tc>
      </w:tr>
      <w:tr w:rsidR="00CA7F75" w:rsidRPr="00FC154F" w14:paraId="357E6B67" w14:textId="77777777" w:rsidTr="7DCEF4FC">
        <w:trPr>
          <w:trHeight w:val="481"/>
        </w:trPr>
        <w:tc>
          <w:tcPr>
            <w:tcW w:w="3256" w:type="dxa"/>
          </w:tcPr>
          <w:p w14:paraId="556B9A84" w14:textId="77777777" w:rsidR="00CA7F75" w:rsidRPr="008E2508" w:rsidRDefault="7DCEF4FC" w:rsidP="7DCEF4FC">
            <w:pPr>
              <w:spacing w:before="0" w:after="120" w:line="276" w:lineRule="auto"/>
              <w:rPr>
                <w:rFonts w:cs="Arial"/>
              </w:rPr>
            </w:pPr>
            <w:r w:rsidRPr="7DCEF4FC">
              <w:rPr>
                <w:rFonts w:cs="Arial"/>
              </w:rPr>
              <w:t>Current ratio</w:t>
            </w:r>
          </w:p>
        </w:tc>
        <w:tc>
          <w:tcPr>
            <w:tcW w:w="5811" w:type="dxa"/>
          </w:tcPr>
          <w:p w14:paraId="1C138FC0" w14:textId="77777777" w:rsidR="00CA7F75" w:rsidRPr="008E2508" w:rsidRDefault="7DCEF4FC" w:rsidP="7DCEF4FC">
            <w:pPr>
              <w:spacing w:before="0" w:after="120" w:line="276" w:lineRule="auto"/>
              <w:rPr>
                <w:rFonts w:cs="Arial"/>
              </w:rPr>
            </w:pPr>
            <w:r w:rsidRPr="7DCEF4FC">
              <w:rPr>
                <w:rFonts w:cs="Arial"/>
              </w:rPr>
              <w:t>100%</w:t>
            </w:r>
          </w:p>
        </w:tc>
      </w:tr>
      <w:tr w:rsidR="00CA7F75" w:rsidRPr="00FC154F" w14:paraId="6DB93680" w14:textId="77777777" w:rsidTr="7DCEF4FC">
        <w:trPr>
          <w:trHeight w:val="481"/>
        </w:trPr>
        <w:tc>
          <w:tcPr>
            <w:tcW w:w="3256" w:type="dxa"/>
          </w:tcPr>
          <w:p w14:paraId="4DEB202A" w14:textId="77777777" w:rsidR="00CA7F75" w:rsidRPr="008E2508" w:rsidRDefault="7DCEF4FC" w:rsidP="7DCEF4FC">
            <w:pPr>
              <w:spacing w:before="0" w:after="120" w:line="276" w:lineRule="auto"/>
              <w:rPr>
                <w:rFonts w:cs="Arial"/>
              </w:rPr>
            </w:pPr>
            <w:r w:rsidRPr="7DCEF4FC">
              <w:rPr>
                <w:rFonts w:cs="Arial"/>
              </w:rPr>
              <w:t>Asset consumption ratio</w:t>
            </w:r>
          </w:p>
        </w:tc>
        <w:tc>
          <w:tcPr>
            <w:tcW w:w="5811" w:type="dxa"/>
          </w:tcPr>
          <w:p w14:paraId="503DCB9D" w14:textId="77777777" w:rsidR="00CA7F75" w:rsidRPr="008E2508" w:rsidRDefault="7DCEF4FC" w:rsidP="7DCEF4FC">
            <w:pPr>
              <w:spacing w:before="0" w:after="120" w:line="276" w:lineRule="auto"/>
              <w:rPr>
                <w:rFonts w:cs="Arial"/>
              </w:rPr>
            </w:pPr>
            <w:r w:rsidRPr="7DCEF4FC">
              <w:rPr>
                <w:rFonts w:cs="Arial"/>
              </w:rPr>
              <w:t>≥ 50%</w:t>
            </w:r>
          </w:p>
        </w:tc>
      </w:tr>
      <w:tr w:rsidR="00CA7F75" w:rsidRPr="00FC154F" w14:paraId="45587849" w14:textId="77777777" w:rsidTr="7DCEF4FC">
        <w:trPr>
          <w:trHeight w:val="481"/>
        </w:trPr>
        <w:tc>
          <w:tcPr>
            <w:tcW w:w="3256" w:type="dxa"/>
          </w:tcPr>
          <w:p w14:paraId="756CBEFD" w14:textId="77777777" w:rsidR="00CA7F75" w:rsidRPr="008E2508" w:rsidRDefault="7DCEF4FC" w:rsidP="7DCEF4FC">
            <w:pPr>
              <w:spacing w:before="0" w:after="120" w:line="276" w:lineRule="auto"/>
              <w:rPr>
                <w:rFonts w:cs="Arial"/>
              </w:rPr>
            </w:pPr>
            <w:r w:rsidRPr="7DCEF4FC">
              <w:rPr>
                <w:rFonts w:cs="Arial"/>
              </w:rPr>
              <w:t>Asset renewal ratio</w:t>
            </w:r>
          </w:p>
        </w:tc>
        <w:tc>
          <w:tcPr>
            <w:tcW w:w="5811" w:type="dxa"/>
          </w:tcPr>
          <w:p w14:paraId="67E7DEBA" w14:textId="77777777" w:rsidR="00CA7F75" w:rsidRPr="008E2508" w:rsidRDefault="7DCEF4FC" w:rsidP="7DCEF4FC">
            <w:pPr>
              <w:spacing w:before="0" w:after="120" w:line="276" w:lineRule="auto"/>
              <w:rPr>
                <w:rFonts w:cs="Arial"/>
              </w:rPr>
            </w:pPr>
            <w:r w:rsidRPr="7DCEF4FC">
              <w:rPr>
                <w:rFonts w:cs="Arial"/>
              </w:rPr>
              <w:t>Basic ≥ 75%</w:t>
            </w:r>
          </w:p>
        </w:tc>
      </w:tr>
      <w:tr w:rsidR="00CA7F75" w:rsidRPr="00FC154F" w14:paraId="11F4240C" w14:textId="77777777" w:rsidTr="7DCEF4FC">
        <w:trPr>
          <w:trHeight w:val="481"/>
        </w:trPr>
        <w:tc>
          <w:tcPr>
            <w:tcW w:w="3256" w:type="dxa"/>
          </w:tcPr>
          <w:p w14:paraId="6E0B65E1" w14:textId="77777777" w:rsidR="00CA7F75" w:rsidRPr="008E2508" w:rsidRDefault="7DCEF4FC" w:rsidP="7DCEF4FC">
            <w:pPr>
              <w:spacing w:before="0" w:after="120" w:line="276" w:lineRule="auto"/>
              <w:rPr>
                <w:rFonts w:cs="Arial"/>
              </w:rPr>
            </w:pPr>
            <w:r w:rsidRPr="7DCEF4FC">
              <w:rPr>
                <w:rFonts w:cs="Arial"/>
              </w:rPr>
              <w:lastRenderedPageBreak/>
              <w:t>Asset sustainability ratio</w:t>
            </w:r>
          </w:p>
        </w:tc>
        <w:tc>
          <w:tcPr>
            <w:tcW w:w="5811" w:type="dxa"/>
          </w:tcPr>
          <w:p w14:paraId="46504F04" w14:textId="77777777" w:rsidR="00CA7F75" w:rsidRPr="008E2508" w:rsidRDefault="7DCEF4FC" w:rsidP="7DCEF4FC">
            <w:pPr>
              <w:spacing w:before="0" w:after="120" w:line="276" w:lineRule="auto"/>
              <w:rPr>
                <w:rFonts w:cs="Arial"/>
              </w:rPr>
            </w:pPr>
            <w:r w:rsidRPr="7DCEF4FC">
              <w:rPr>
                <w:rFonts w:cs="Arial"/>
              </w:rPr>
              <w:t>Basic ≥ 90%</w:t>
            </w:r>
          </w:p>
        </w:tc>
      </w:tr>
      <w:tr w:rsidR="00CA7F75" w:rsidRPr="00FC154F" w14:paraId="341681DC" w14:textId="77777777" w:rsidTr="7DCEF4FC">
        <w:trPr>
          <w:trHeight w:val="481"/>
        </w:trPr>
        <w:tc>
          <w:tcPr>
            <w:tcW w:w="3256" w:type="dxa"/>
          </w:tcPr>
          <w:p w14:paraId="5E17A0CC" w14:textId="77777777" w:rsidR="00CA7F75" w:rsidRPr="008E2508" w:rsidRDefault="7DCEF4FC" w:rsidP="7DCEF4FC">
            <w:pPr>
              <w:spacing w:before="0" w:after="120" w:line="276" w:lineRule="auto"/>
              <w:rPr>
                <w:rFonts w:cs="Arial"/>
              </w:rPr>
            </w:pPr>
            <w:r w:rsidRPr="7DCEF4FC">
              <w:rPr>
                <w:rFonts w:cs="Arial"/>
              </w:rPr>
              <w:t>Debt service cover ratio</w:t>
            </w:r>
          </w:p>
        </w:tc>
        <w:tc>
          <w:tcPr>
            <w:tcW w:w="5811" w:type="dxa"/>
          </w:tcPr>
          <w:p w14:paraId="4B80940A" w14:textId="77777777" w:rsidR="00CA7F75" w:rsidRPr="008E2508" w:rsidRDefault="7DCEF4FC" w:rsidP="7DCEF4FC">
            <w:pPr>
              <w:spacing w:before="0" w:after="120" w:line="276" w:lineRule="auto"/>
              <w:rPr>
                <w:rFonts w:cs="Arial"/>
              </w:rPr>
            </w:pPr>
            <w:r w:rsidRPr="7DCEF4FC">
              <w:rPr>
                <w:rFonts w:cs="Arial"/>
              </w:rPr>
              <w:t>Basic ≥ 200%</w:t>
            </w:r>
          </w:p>
          <w:p w14:paraId="1EBC2CFC" w14:textId="77777777" w:rsidR="00CA7F75" w:rsidRPr="008E2508" w:rsidRDefault="7DCEF4FC" w:rsidP="7DCEF4FC">
            <w:pPr>
              <w:spacing w:before="0" w:after="120" w:line="276" w:lineRule="auto"/>
              <w:rPr>
                <w:rFonts w:cs="Arial"/>
              </w:rPr>
            </w:pPr>
            <w:r w:rsidRPr="7DCEF4FC">
              <w:rPr>
                <w:rFonts w:cs="Arial"/>
              </w:rPr>
              <w:t>Advanced ≥ 500%</w:t>
            </w:r>
          </w:p>
        </w:tc>
      </w:tr>
      <w:tr w:rsidR="00CA7F75" w:rsidRPr="00FC154F" w14:paraId="431633A8" w14:textId="77777777" w:rsidTr="7DCEF4FC">
        <w:trPr>
          <w:trHeight w:val="481"/>
        </w:trPr>
        <w:tc>
          <w:tcPr>
            <w:tcW w:w="3256" w:type="dxa"/>
          </w:tcPr>
          <w:p w14:paraId="5E80A53E" w14:textId="77777777" w:rsidR="00CA7F75" w:rsidRPr="008E2508" w:rsidRDefault="7DCEF4FC" w:rsidP="7DCEF4FC">
            <w:pPr>
              <w:spacing w:before="0" w:after="120" w:line="276" w:lineRule="auto"/>
              <w:rPr>
                <w:rFonts w:cs="Arial"/>
              </w:rPr>
            </w:pPr>
            <w:r w:rsidRPr="7DCEF4FC">
              <w:rPr>
                <w:rFonts w:cs="Arial"/>
              </w:rPr>
              <w:t xml:space="preserve">Operating surplus ratio </w:t>
            </w:r>
          </w:p>
        </w:tc>
        <w:tc>
          <w:tcPr>
            <w:tcW w:w="5811" w:type="dxa"/>
          </w:tcPr>
          <w:p w14:paraId="085030F1" w14:textId="77777777" w:rsidR="00CA7F75" w:rsidRPr="008E2508" w:rsidRDefault="7DCEF4FC" w:rsidP="7DCEF4FC">
            <w:pPr>
              <w:spacing w:before="0" w:after="120" w:line="276" w:lineRule="auto"/>
              <w:rPr>
                <w:rFonts w:cs="Arial"/>
              </w:rPr>
            </w:pPr>
            <w:r w:rsidRPr="7DCEF4FC">
              <w:rPr>
                <w:rFonts w:cs="Arial"/>
              </w:rPr>
              <w:t>Basic 1% - 15%</w:t>
            </w:r>
          </w:p>
          <w:p w14:paraId="077232DE" w14:textId="77777777" w:rsidR="00CA7F75" w:rsidRPr="008E2508" w:rsidRDefault="7DCEF4FC" w:rsidP="7DCEF4FC">
            <w:pPr>
              <w:spacing w:before="0" w:after="120" w:line="276" w:lineRule="auto"/>
              <w:rPr>
                <w:rFonts w:cs="Arial"/>
              </w:rPr>
            </w:pPr>
            <w:r w:rsidRPr="7DCEF4FC">
              <w:rPr>
                <w:rFonts w:cs="Arial"/>
              </w:rPr>
              <w:t>Advanced &gt; 15%</w:t>
            </w:r>
          </w:p>
        </w:tc>
      </w:tr>
      <w:tr w:rsidR="00CA7F75" w:rsidRPr="00FC154F" w14:paraId="392234BD" w14:textId="77777777" w:rsidTr="7DCEF4FC">
        <w:trPr>
          <w:trHeight w:val="481"/>
        </w:trPr>
        <w:tc>
          <w:tcPr>
            <w:tcW w:w="3256" w:type="dxa"/>
          </w:tcPr>
          <w:p w14:paraId="45C89909" w14:textId="77777777" w:rsidR="00CA7F75" w:rsidRPr="008E2508" w:rsidRDefault="7DCEF4FC" w:rsidP="7DCEF4FC">
            <w:pPr>
              <w:spacing w:before="0" w:after="120" w:line="276" w:lineRule="auto"/>
              <w:rPr>
                <w:rFonts w:cs="Arial"/>
              </w:rPr>
            </w:pPr>
            <w:r w:rsidRPr="7DCEF4FC">
              <w:rPr>
                <w:rFonts w:cs="Arial"/>
              </w:rPr>
              <w:t>Own source revenue coverage ratio</w:t>
            </w:r>
          </w:p>
        </w:tc>
        <w:tc>
          <w:tcPr>
            <w:tcW w:w="5811" w:type="dxa"/>
          </w:tcPr>
          <w:p w14:paraId="3BA3C26A" w14:textId="77777777" w:rsidR="00CA7F75" w:rsidRPr="008E2508" w:rsidRDefault="7DCEF4FC" w:rsidP="7DCEF4FC">
            <w:pPr>
              <w:spacing w:before="0" w:after="120" w:line="276" w:lineRule="auto"/>
              <w:rPr>
                <w:rFonts w:cs="Arial"/>
              </w:rPr>
            </w:pPr>
            <w:r w:rsidRPr="7DCEF4FC">
              <w:rPr>
                <w:rFonts w:cs="Arial"/>
              </w:rPr>
              <w:t>Basic 40% - 60%</w:t>
            </w:r>
          </w:p>
          <w:p w14:paraId="146635AD" w14:textId="77777777" w:rsidR="00CA7F75" w:rsidRPr="008E2508" w:rsidRDefault="7DCEF4FC" w:rsidP="7DCEF4FC">
            <w:pPr>
              <w:spacing w:before="0" w:after="120" w:line="276" w:lineRule="auto"/>
              <w:rPr>
                <w:rFonts w:cs="Arial"/>
              </w:rPr>
            </w:pPr>
            <w:r w:rsidRPr="7DCEF4FC">
              <w:rPr>
                <w:rFonts w:cs="Arial"/>
              </w:rPr>
              <w:t>Intermediate 60% - 90%</w:t>
            </w:r>
          </w:p>
          <w:p w14:paraId="3025E72B" w14:textId="77777777" w:rsidR="00CA7F75" w:rsidRPr="008E2508" w:rsidRDefault="7DCEF4FC" w:rsidP="7DCEF4FC">
            <w:pPr>
              <w:spacing w:before="0" w:after="120" w:line="276" w:lineRule="auto"/>
              <w:rPr>
                <w:rFonts w:cs="Arial"/>
              </w:rPr>
            </w:pPr>
            <w:r w:rsidRPr="7DCEF4FC">
              <w:rPr>
                <w:rFonts w:cs="Arial"/>
              </w:rPr>
              <w:t xml:space="preserve">Advanced &gt; 90% </w:t>
            </w:r>
          </w:p>
        </w:tc>
      </w:tr>
    </w:tbl>
    <w:p w14:paraId="704E0183" w14:textId="77777777" w:rsidR="00CA7F75" w:rsidRPr="00FC154F" w:rsidRDefault="00CA7F75" w:rsidP="00CA7F75">
      <w:pPr>
        <w:spacing w:after="120" w:line="276" w:lineRule="auto"/>
        <w:rPr>
          <w:rFonts w:ascii="Arial" w:hAnsi="Arial" w:cs="Arial"/>
        </w:rPr>
      </w:pPr>
    </w:p>
    <w:p w14:paraId="7B9CEA09" w14:textId="77777777" w:rsidR="00CA7F75" w:rsidRPr="003D1D96" w:rsidRDefault="7DCEF4FC" w:rsidP="7DCEF4FC">
      <w:pPr>
        <w:pStyle w:val="Heading2"/>
        <w:spacing w:before="0" w:after="120" w:line="276" w:lineRule="auto"/>
        <w:jc w:val="both"/>
        <w:rPr>
          <w:rFonts w:ascii="Arial" w:hAnsi="Arial" w:cs="Arial"/>
          <w:color w:val="595959" w:themeColor="text1" w:themeTint="A6"/>
          <w:sz w:val="28"/>
          <w:szCs w:val="28"/>
        </w:rPr>
      </w:pPr>
      <w:bookmarkStart w:id="15" w:name="_Toc520440307"/>
      <w:r w:rsidRPr="7DCEF4FC">
        <w:rPr>
          <w:rFonts w:ascii="Arial" w:hAnsi="Arial" w:cs="Arial"/>
          <w:color w:val="595959" w:themeColor="text1" w:themeTint="A6"/>
          <w:sz w:val="28"/>
          <w:szCs w:val="28"/>
        </w:rPr>
        <w:t>What are the opportunities for reform?</w:t>
      </w:r>
      <w:bookmarkEnd w:id="15"/>
    </w:p>
    <w:p w14:paraId="4DCB4764" w14:textId="77777777" w:rsidR="00CA7F75" w:rsidRPr="003D1D96" w:rsidRDefault="7DCEF4FC" w:rsidP="7DCEF4FC">
      <w:pPr>
        <w:spacing w:after="120" w:line="276" w:lineRule="auto"/>
        <w:jc w:val="both"/>
        <w:rPr>
          <w:rFonts w:ascii="Arial" w:hAnsi="Arial" w:cs="Arial"/>
          <w:b/>
          <w:bCs/>
          <w:color w:val="C00000"/>
          <w:sz w:val="24"/>
          <w:szCs w:val="24"/>
        </w:rPr>
      </w:pPr>
      <w:r w:rsidRPr="7DCEF4FC">
        <w:rPr>
          <w:rFonts w:ascii="Arial" w:hAnsi="Arial" w:cs="Arial"/>
          <w:b/>
          <w:bCs/>
          <w:color w:val="C00000"/>
          <w:sz w:val="24"/>
          <w:szCs w:val="24"/>
        </w:rPr>
        <w:t>Amend the financial ratios</w:t>
      </w:r>
    </w:p>
    <w:p w14:paraId="0A7EA55E" w14:textId="77777777" w:rsidR="00CA7F75" w:rsidRPr="003D1D96" w:rsidRDefault="7DCEF4FC" w:rsidP="7DCEF4FC">
      <w:pPr>
        <w:spacing w:after="120" w:line="276" w:lineRule="auto"/>
        <w:jc w:val="both"/>
        <w:rPr>
          <w:rFonts w:ascii="Arial" w:hAnsi="Arial" w:cs="Arial"/>
          <w:sz w:val="24"/>
          <w:szCs w:val="24"/>
        </w:rPr>
      </w:pPr>
      <w:r w:rsidRPr="7DCEF4FC">
        <w:rPr>
          <w:rFonts w:ascii="Arial" w:hAnsi="Arial" w:cs="Arial"/>
          <w:sz w:val="24"/>
          <w:szCs w:val="24"/>
        </w:rPr>
        <w:t xml:space="preserve">Altering the financial ratios that local governments are required to calculate and report may improve awareness and understanding of local government financial performance. </w:t>
      </w:r>
    </w:p>
    <w:p w14:paraId="379AB90D" w14:textId="77777777" w:rsidR="00CA7F75" w:rsidRPr="003D1D96" w:rsidRDefault="7DCEF4FC" w:rsidP="7DCEF4FC">
      <w:pPr>
        <w:spacing w:after="120" w:line="276" w:lineRule="auto"/>
        <w:jc w:val="both"/>
        <w:rPr>
          <w:rFonts w:ascii="Arial" w:hAnsi="Arial" w:cs="Arial"/>
          <w:sz w:val="24"/>
          <w:szCs w:val="24"/>
        </w:rPr>
      </w:pPr>
      <w:r w:rsidRPr="7DCEF4FC">
        <w:rPr>
          <w:rFonts w:ascii="Arial" w:hAnsi="Arial" w:cs="Arial"/>
          <w:sz w:val="24"/>
          <w:szCs w:val="24"/>
        </w:rPr>
        <w:t>The choice of ratios used in Western Australia has been the subject of criticism.  Some in the sector view the ratios as an ineffective metric that can be misrepresented and that do not give a true reflection of financial performance and asset management.</w:t>
      </w:r>
    </w:p>
    <w:p w14:paraId="45BA0083" w14:textId="08D36CA4" w:rsidR="00CA7F75" w:rsidRPr="003D1D96" w:rsidRDefault="7DCEF4FC" w:rsidP="7DCEF4FC">
      <w:pPr>
        <w:spacing w:after="120" w:line="276" w:lineRule="auto"/>
        <w:jc w:val="both"/>
        <w:rPr>
          <w:rFonts w:ascii="Arial" w:hAnsi="Arial" w:cs="Arial"/>
          <w:sz w:val="24"/>
          <w:szCs w:val="24"/>
        </w:rPr>
      </w:pPr>
      <w:r w:rsidRPr="7DCEF4FC">
        <w:rPr>
          <w:rFonts w:ascii="Arial" w:hAnsi="Arial" w:cs="Arial"/>
          <w:sz w:val="24"/>
          <w:szCs w:val="24"/>
        </w:rPr>
        <w:t>The publication of the Financial Health Indicator on the MyCouncil website, which uses financial ratios in its calculations, has brought greater attention to financial health and highlighted the role that ratios can perform aggregating otherwise complex financial data. Financial ratios are a key tool in local government performance measurement in other Australian states and it is important that the metrics used in Western Australia are meaningful and useful.</w:t>
      </w:r>
    </w:p>
    <w:p w14:paraId="0BB284CC" w14:textId="77777777" w:rsidR="00CA7F75" w:rsidRPr="00C900CA" w:rsidRDefault="7DCEF4FC" w:rsidP="7DCEF4FC">
      <w:pPr>
        <w:pStyle w:val="Heading1"/>
        <w:spacing w:before="0" w:after="120" w:line="276" w:lineRule="auto"/>
        <w:rPr>
          <w:rFonts w:ascii="Arial" w:hAnsi="Arial" w:cs="Arial"/>
          <w:color w:val="C0311A"/>
        </w:rPr>
      </w:pPr>
      <w:bookmarkStart w:id="16" w:name="_Toc520440309"/>
      <w:r w:rsidRPr="7DCEF4FC">
        <w:rPr>
          <w:rFonts w:ascii="Arial" w:hAnsi="Arial" w:cs="Arial"/>
          <w:color w:val="C0311A"/>
        </w:rPr>
        <w:t>Building Upgrade Finance</w:t>
      </w:r>
      <w:bookmarkEnd w:id="16"/>
    </w:p>
    <w:p w14:paraId="5A9D4C77" w14:textId="6C15F22B" w:rsidR="00CA7F75" w:rsidRPr="00AD2E70" w:rsidRDefault="7DCEF4FC" w:rsidP="7DCEF4FC">
      <w:pPr>
        <w:spacing w:after="120" w:line="276" w:lineRule="auto"/>
        <w:jc w:val="both"/>
        <w:rPr>
          <w:rFonts w:ascii="Arial" w:hAnsi="Arial" w:cs="Arial"/>
          <w:sz w:val="24"/>
          <w:szCs w:val="24"/>
        </w:rPr>
      </w:pPr>
      <w:r w:rsidRPr="7DCEF4FC">
        <w:rPr>
          <w:rFonts w:ascii="Arial" w:hAnsi="Arial" w:cs="Arial"/>
          <w:sz w:val="24"/>
          <w:szCs w:val="24"/>
        </w:rPr>
        <w:t>Building Upgrade Finance (BUF) is a scheme whereby a local government administers loans issued by financiers to non-residential building owners to upgrade their buildings. The local government uses a levy on the building owner to recover the funds on behalf of the financier. The approach has been used in Victoria, South Australia and New South Wales as a mechanism to encourage non-residential property owners to invest in environmentally conscious building upgrades.</w:t>
      </w:r>
    </w:p>
    <w:p w14:paraId="5F8B6093" w14:textId="77777777" w:rsidR="00CA7F75" w:rsidRPr="00AD2E70" w:rsidRDefault="7DCEF4FC" w:rsidP="7DCEF4FC">
      <w:pPr>
        <w:spacing w:after="120" w:line="276" w:lineRule="auto"/>
        <w:jc w:val="both"/>
        <w:rPr>
          <w:rFonts w:ascii="Arial" w:hAnsi="Arial" w:cs="Arial"/>
          <w:sz w:val="24"/>
          <w:szCs w:val="24"/>
        </w:rPr>
      </w:pPr>
      <w:r w:rsidRPr="7DCEF4FC">
        <w:rPr>
          <w:rFonts w:ascii="Arial" w:hAnsi="Arial" w:cs="Arial"/>
          <w:sz w:val="24"/>
          <w:szCs w:val="24"/>
        </w:rPr>
        <w:t>BUF involves three parts:</w:t>
      </w:r>
    </w:p>
    <w:p w14:paraId="0104BE19" w14:textId="4DF2673A" w:rsidR="00CA7F75" w:rsidRPr="00AD2E70" w:rsidRDefault="7DCEF4FC" w:rsidP="7DCEF4FC">
      <w:pPr>
        <w:pStyle w:val="ListParagraph"/>
        <w:numPr>
          <w:ilvl w:val="0"/>
          <w:numId w:val="24"/>
        </w:numPr>
        <w:spacing w:after="120" w:line="276" w:lineRule="auto"/>
        <w:jc w:val="both"/>
        <w:rPr>
          <w:rFonts w:ascii="Arial" w:hAnsi="Arial" w:cs="Arial"/>
          <w:sz w:val="24"/>
          <w:szCs w:val="24"/>
        </w:rPr>
      </w:pPr>
      <w:r w:rsidRPr="7DCEF4FC">
        <w:rPr>
          <w:rFonts w:ascii="Arial" w:hAnsi="Arial" w:cs="Arial"/>
          <w:sz w:val="24"/>
          <w:szCs w:val="24"/>
        </w:rPr>
        <w:t>The building owner agrees to undertake works;</w:t>
      </w:r>
    </w:p>
    <w:p w14:paraId="2DFD7EA1" w14:textId="77DD05F7" w:rsidR="00CA7F75" w:rsidRPr="00AD2E70" w:rsidRDefault="7DCEF4FC" w:rsidP="7DCEF4FC">
      <w:pPr>
        <w:pStyle w:val="ListParagraph"/>
        <w:numPr>
          <w:ilvl w:val="0"/>
          <w:numId w:val="24"/>
        </w:numPr>
        <w:spacing w:after="120" w:line="276" w:lineRule="auto"/>
        <w:jc w:val="both"/>
        <w:rPr>
          <w:rFonts w:ascii="Arial" w:hAnsi="Arial" w:cs="Arial"/>
          <w:sz w:val="24"/>
          <w:szCs w:val="24"/>
        </w:rPr>
      </w:pPr>
      <w:r w:rsidRPr="7DCEF4FC">
        <w:rPr>
          <w:rFonts w:ascii="Arial" w:hAnsi="Arial" w:cs="Arial"/>
          <w:sz w:val="24"/>
          <w:szCs w:val="24"/>
        </w:rPr>
        <w:t>A financier agrees to finance the works; and</w:t>
      </w:r>
    </w:p>
    <w:p w14:paraId="70EFAD25" w14:textId="0471B28C" w:rsidR="00CA7F75" w:rsidRPr="00AD2E70" w:rsidRDefault="7DCEF4FC" w:rsidP="7DCEF4FC">
      <w:pPr>
        <w:pStyle w:val="ListParagraph"/>
        <w:numPr>
          <w:ilvl w:val="0"/>
          <w:numId w:val="24"/>
        </w:numPr>
        <w:spacing w:after="120" w:line="276" w:lineRule="auto"/>
        <w:jc w:val="both"/>
        <w:rPr>
          <w:rFonts w:ascii="Arial" w:hAnsi="Arial" w:cs="Arial"/>
          <w:sz w:val="24"/>
          <w:szCs w:val="24"/>
        </w:rPr>
      </w:pPr>
      <w:r w:rsidRPr="7DCEF4FC">
        <w:rPr>
          <w:rFonts w:ascii="Arial" w:hAnsi="Arial" w:cs="Arial"/>
          <w:sz w:val="24"/>
          <w:szCs w:val="24"/>
        </w:rPr>
        <w:lastRenderedPageBreak/>
        <w:t>The local government agrees to recoup the loan (known as a building upgrade charge).</w:t>
      </w:r>
    </w:p>
    <w:p w14:paraId="35D254CC" w14:textId="71B5005C" w:rsidR="00CA7F75" w:rsidRPr="00AD2E70" w:rsidRDefault="7DCEF4FC" w:rsidP="7DCEF4FC">
      <w:pPr>
        <w:spacing w:after="120" w:line="276" w:lineRule="auto"/>
        <w:jc w:val="both"/>
        <w:rPr>
          <w:rFonts w:ascii="Arial" w:hAnsi="Arial" w:cs="Arial"/>
          <w:sz w:val="24"/>
          <w:szCs w:val="24"/>
        </w:rPr>
      </w:pPr>
      <w:r w:rsidRPr="7DCEF4FC">
        <w:rPr>
          <w:rFonts w:ascii="Arial" w:hAnsi="Arial" w:cs="Arial"/>
          <w:sz w:val="24"/>
          <w:szCs w:val="24"/>
        </w:rPr>
        <w:t xml:space="preserve">The arrangement means that the loan is tied to the property rather than property owner. Responsibility to pay for the loan shifts if the ownership of the property changes. In other Australian States that have employed this approach, the local government is by law not financially liable for any non-payment by the building owner.  Local governments are required to use their best endeavours to recover the loan. As the loan is recovered via the same powers as rates or a service charge, in the event of non-payment, local governments have the same powers available to recover unpaid rates or service charges. This can include taking possession of the land and selling the property. </w:t>
      </w:r>
    </w:p>
    <w:p w14:paraId="610BEB00" w14:textId="77777777" w:rsidR="00CA7F75" w:rsidRPr="00AD2E70" w:rsidRDefault="7DCEF4FC" w:rsidP="7DCEF4FC">
      <w:pPr>
        <w:pStyle w:val="Heading2"/>
        <w:spacing w:before="0" w:after="120" w:line="276" w:lineRule="auto"/>
        <w:jc w:val="both"/>
        <w:rPr>
          <w:rFonts w:ascii="Arial" w:hAnsi="Arial" w:cs="Arial"/>
          <w:color w:val="595959" w:themeColor="text1" w:themeTint="A6"/>
          <w:sz w:val="28"/>
          <w:szCs w:val="28"/>
        </w:rPr>
      </w:pPr>
      <w:bookmarkStart w:id="17" w:name="_Toc520440310"/>
      <w:r w:rsidRPr="7DCEF4FC">
        <w:rPr>
          <w:rFonts w:ascii="Arial" w:hAnsi="Arial" w:cs="Arial"/>
          <w:color w:val="595959" w:themeColor="text1" w:themeTint="A6"/>
          <w:sz w:val="28"/>
          <w:szCs w:val="28"/>
        </w:rPr>
        <w:t>What are the opportunities for reform?</w:t>
      </w:r>
      <w:bookmarkEnd w:id="17"/>
    </w:p>
    <w:p w14:paraId="2143577D" w14:textId="528776E5" w:rsidR="00CA7F75" w:rsidRPr="00AD2E70" w:rsidRDefault="7DCEF4FC" w:rsidP="7DCEF4FC">
      <w:pPr>
        <w:spacing w:after="120" w:line="276" w:lineRule="auto"/>
        <w:jc w:val="both"/>
        <w:rPr>
          <w:rFonts w:ascii="Arial" w:hAnsi="Arial" w:cs="Arial"/>
          <w:sz w:val="24"/>
          <w:szCs w:val="24"/>
        </w:rPr>
      </w:pPr>
      <w:r w:rsidRPr="7DCEF4FC">
        <w:rPr>
          <w:rFonts w:ascii="Arial" w:hAnsi="Arial" w:cs="Arial"/>
          <w:sz w:val="24"/>
          <w:szCs w:val="24"/>
        </w:rPr>
        <w:t>The City of Perth and the Property Council of Australia have advocated for reforms to Western Australian legislation that would enable local governments to guarantee finance for building upgrades for non-residential property owners. In addition to building upgrades to achieve environmental outcomes, advocates have identified an opportunity to use this approach to finance general upgrades to increase the commercial appeal of buildings for potential tenants. In this way, BUF is viewed as means to encourage economic investment to meet the challenges of a soft commercial lease market in Perth and achieve economic growth.</w:t>
      </w:r>
    </w:p>
    <w:p w14:paraId="48F5F063" w14:textId="644EC7D4" w:rsidR="008E2508" w:rsidRDefault="7DCEF4FC" w:rsidP="7DCEF4FC">
      <w:pPr>
        <w:spacing w:after="120" w:line="276" w:lineRule="auto"/>
        <w:jc w:val="both"/>
        <w:rPr>
          <w:rFonts w:ascii="Arial" w:hAnsi="Arial" w:cs="Arial"/>
          <w:sz w:val="24"/>
          <w:szCs w:val="24"/>
        </w:rPr>
      </w:pPr>
      <w:r w:rsidRPr="7DCEF4FC">
        <w:rPr>
          <w:rFonts w:ascii="Arial" w:hAnsi="Arial" w:cs="Arial"/>
          <w:sz w:val="24"/>
          <w:szCs w:val="24"/>
        </w:rPr>
        <w:t xml:space="preserve">BUF enables building owners to obtain finance that they may not normally have access to. For local government, the approach may allow for the achievement of strategic community objectives and provide an additional revenue stream. For lenders, the scheme is said to be a way for financers to participate in environmentally conscious investments and support technology like solar and have additional security because in the event of bankruptcy, recovery of the BUF takes precedence over other outstanding payments.  </w:t>
      </w:r>
    </w:p>
    <w:p w14:paraId="3D54F16C" w14:textId="77777777" w:rsidR="008E2508" w:rsidRPr="00AD2E70" w:rsidRDefault="008E2508" w:rsidP="00CA7F75">
      <w:pPr>
        <w:spacing w:after="120" w:line="276" w:lineRule="auto"/>
        <w:jc w:val="both"/>
        <w:rPr>
          <w:rFonts w:ascii="Arial" w:hAnsi="Arial" w:cs="Arial"/>
          <w:sz w:val="24"/>
        </w:rPr>
      </w:pPr>
    </w:p>
    <w:p w14:paraId="122B5097" w14:textId="77777777" w:rsidR="00CA7F75" w:rsidRDefault="7DCEF4FC" w:rsidP="7DCEF4FC">
      <w:pPr>
        <w:pStyle w:val="Heading1"/>
        <w:rPr>
          <w:rFonts w:ascii="Arial" w:hAnsi="Arial" w:cs="Arial"/>
          <w:color w:val="C0311A"/>
        </w:rPr>
      </w:pPr>
      <w:bookmarkStart w:id="18" w:name="_Toc521314540"/>
      <w:r w:rsidRPr="7DCEF4FC">
        <w:rPr>
          <w:rFonts w:ascii="Arial" w:hAnsi="Arial" w:cs="Arial"/>
          <w:color w:val="C0311A"/>
        </w:rPr>
        <w:t>What do you think?</w:t>
      </w:r>
    </w:p>
    <w:p w14:paraId="22BF5CB1" w14:textId="77777777" w:rsidR="00DD51FB" w:rsidRPr="00AD2E70" w:rsidRDefault="7DCEF4FC" w:rsidP="7DCEF4FC">
      <w:pPr>
        <w:jc w:val="both"/>
        <w:rPr>
          <w:rFonts w:ascii="Arial" w:hAnsi="Arial" w:cs="Arial"/>
          <w:sz w:val="24"/>
          <w:szCs w:val="24"/>
        </w:rPr>
      </w:pPr>
      <w:bookmarkStart w:id="19" w:name="_Hlk523308458"/>
      <w:r w:rsidRPr="7DCEF4FC">
        <w:rPr>
          <w:rFonts w:ascii="Arial" w:hAnsi="Arial" w:cs="Arial"/>
          <w:sz w:val="24"/>
          <w:szCs w:val="24"/>
        </w:rPr>
        <w:t xml:space="preserve">The easiest way to have a say on the future of your community is to complete the survey available </w:t>
      </w:r>
      <w:hyperlink r:id="rId14">
        <w:r w:rsidRPr="7DCEF4FC">
          <w:rPr>
            <w:rStyle w:val="Hyperlink"/>
          </w:rPr>
          <w:t>here</w:t>
        </w:r>
      </w:hyperlink>
      <w:r w:rsidRPr="7DCEF4FC">
        <w:rPr>
          <w:rFonts w:ascii="Arial" w:hAnsi="Arial" w:cs="Arial"/>
          <w:sz w:val="24"/>
          <w:szCs w:val="24"/>
        </w:rPr>
        <w:t>.</w:t>
      </w:r>
    </w:p>
    <w:p w14:paraId="2253AFBE" w14:textId="77777777" w:rsidR="00DD51FB" w:rsidRPr="00AD2E70" w:rsidRDefault="7DCEF4FC" w:rsidP="7DCEF4FC">
      <w:pPr>
        <w:jc w:val="both"/>
        <w:rPr>
          <w:rFonts w:ascii="Arial" w:hAnsi="Arial" w:cs="Arial"/>
          <w:sz w:val="24"/>
          <w:szCs w:val="24"/>
        </w:rPr>
      </w:pPr>
      <w:r w:rsidRPr="7DCEF4FC">
        <w:rPr>
          <w:rFonts w:ascii="Arial" w:hAnsi="Arial" w:cs="Arial"/>
          <w:sz w:val="24"/>
          <w:szCs w:val="24"/>
        </w:rPr>
        <w:t xml:space="preserve">Your responses to this survey will inform the review and will take approximately 15 minutes to complete. </w:t>
      </w:r>
    </w:p>
    <w:p w14:paraId="7F89E3C3" w14:textId="3532BD5D" w:rsidR="00B43912" w:rsidRPr="00180B74" w:rsidRDefault="7DCEF4FC" w:rsidP="7DCEF4FC">
      <w:pPr>
        <w:jc w:val="both"/>
        <w:rPr>
          <w:rFonts w:ascii="Arial" w:hAnsi="Arial" w:cs="Arial"/>
          <w:sz w:val="24"/>
          <w:szCs w:val="24"/>
        </w:rPr>
      </w:pPr>
      <w:r w:rsidRPr="7DCEF4FC">
        <w:rPr>
          <w:rFonts w:ascii="Arial" w:hAnsi="Arial" w:cs="Arial"/>
          <w:sz w:val="24"/>
          <w:szCs w:val="24"/>
        </w:rPr>
        <w:t xml:space="preserve">We ask that you take care in completing a survey. While you may lodge multiple written submissions via email at </w:t>
      </w:r>
      <w:hyperlink r:id="rId15">
        <w:r w:rsidRPr="7DCEF4FC">
          <w:rPr>
            <w:rStyle w:val="Hyperlink"/>
            <w:rFonts w:cs="Arial"/>
          </w:rPr>
          <w:t>actreview@dlgsc.wa.gov.au</w:t>
        </w:r>
      </w:hyperlink>
      <w:r w:rsidRPr="7DCEF4FC">
        <w:rPr>
          <w:rFonts w:ascii="Arial" w:hAnsi="Arial" w:cs="Arial"/>
          <w:sz w:val="24"/>
          <w:szCs w:val="24"/>
        </w:rPr>
        <w:t>, you will only be able to complete each online topic survey once.</w:t>
      </w:r>
    </w:p>
    <w:p w14:paraId="67F3A493" w14:textId="77777777" w:rsidR="00DD51FB" w:rsidRPr="00AD2E70" w:rsidRDefault="7DCEF4FC" w:rsidP="7DCEF4FC">
      <w:pPr>
        <w:jc w:val="both"/>
        <w:rPr>
          <w:rFonts w:ascii="Arial" w:hAnsi="Arial" w:cs="Arial"/>
          <w:sz w:val="24"/>
          <w:szCs w:val="24"/>
        </w:rPr>
      </w:pPr>
      <w:r w:rsidRPr="7DCEF4FC">
        <w:rPr>
          <w:rFonts w:ascii="Arial" w:hAnsi="Arial" w:cs="Arial"/>
          <w:sz w:val="24"/>
          <w:szCs w:val="24"/>
        </w:rPr>
        <w:t>The public submission period closes on 31 March 2019. This is the last day that you will be able to respond to the surveys.</w:t>
      </w:r>
    </w:p>
    <w:p w14:paraId="08FD9B9C" w14:textId="77777777" w:rsidR="00DD51FB" w:rsidRPr="00AD2E70" w:rsidRDefault="7DCEF4FC" w:rsidP="7DCEF4FC">
      <w:pPr>
        <w:jc w:val="both"/>
        <w:rPr>
          <w:rFonts w:ascii="Arial" w:hAnsi="Arial" w:cs="Arial"/>
          <w:sz w:val="24"/>
          <w:szCs w:val="24"/>
        </w:rPr>
      </w:pPr>
      <w:r w:rsidRPr="7DCEF4FC">
        <w:rPr>
          <w:rFonts w:ascii="Arial" w:hAnsi="Arial" w:cs="Arial"/>
          <w:sz w:val="24"/>
          <w:szCs w:val="24"/>
        </w:rPr>
        <w:lastRenderedPageBreak/>
        <w:t>Unless marked as confidential, your submission (including survey responses) will be made public and published in full on the Department’s website. Submissions that contain defamatory or offensive material will not be published.</w:t>
      </w:r>
    </w:p>
    <w:p w14:paraId="04475AFC" w14:textId="77777777" w:rsidR="00B7279C" w:rsidRPr="00AD2E70" w:rsidRDefault="7DCEF4FC" w:rsidP="7DCEF4FC">
      <w:pPr>
        <w:jc w:val="both"/>
        <w:rPr>
          <w:rFonts w:ascii="Arial" w:hAnsi="Arial" w:cs="Arial"/>
          <w:sz w:val="24"/>
          <w:szCs w:val="24"/>
        </w:rPr>
      </w:pPr>
      <w:r w:rsidRPr="7DCEF4FC">
        <w:rPr>
          <w:rFonts w:ascii="Arial" w:hAnsi="Arial" w:cs="Arial"/>
          <w:sz w:val="24"/>
          <w:szCs w:val="24"/>
        </w:rPr>
        <w:t xml:space="preserve">The questions in the survey are provided below but we encourage you to complete the survey online which is available </w:t>
      </w:r>
      <w:hyperlink r:id="rId16">
        <w:r w:rsidRPr="7DCEF4FC">
          <w:rPr>
            <w:rStyle w:val="Hyperlink"/>
          </w:rPr>
          <w:t>here</w:t>
        </w:r>
      </w:hyperlink>
      <w:r w:rsidRPr="7DCEF4FC">
        <w:rPr>
          <w:rFonts w:ascii="Arial" w:hAnsi="Arial" w:cs="Arial"/>
          <w:sz w:val="24"/>
          <w:szCs w:val="24"/>
        </w:rPr>
        <w:t>.</w:t>
      </w:r>
    </w:p>
    <w:p w14:paraId="6BD6E225" w14:textId="3D0B2EB1" w:rsidR="00DD51FB" w:rsidRPr="00B43912" w:rsidRDefault="00B7279C" w:rsidP="7DCEF4FC">
      <w:pPr>
        <w:rPr>
          <w:rFonts w:ascii="Arial" w:hAnsi="Arial" w:cs="Arial"/>
        </w:rPr>
      </w:pPr>
      <w:r w:rsidRPr="7DCEF4FC">
        <w:rPr>
          <w:rFonts w:ascii="Arial" w:hAnsi="Arial" w:cs="Arial"/>
        </w:rPr>
        <w:br w:type="page"/>
      </w:r>
      <w:r w:rsidR="7DCEF4FC" w:rsidRPr="7DCEF4FC">
        <w:rPr>
          <w:rFonts w:ascii="Arial" w:hAnsi="Arial" w:cs="Arial"/>
          <w:b/>
          <w:bCs/>
          <w:i/>
          <w:iCs/>
          <w:sz w:val="24"/>
          <w:szCs w:val="24"/>
        </w:rPr>
        <w:lastRenderedPageBreak/>
        <w:t>Survey</w:t>
      </w:r>
      <w:r w:rsidR="7DCEF4FC" w:rsidRPr="7DCEF4FC">
        <w:rPr>
          <w:rFonts w:ascii="Arial" w:hAnsi="Arial" w:cs="Arial"/>
          <w:b/>
          <w:bCs/>
          <w:sz w:val="24"/>
          <w:szCs w:val="24"/>
        </w:rPr>
        <w:t xml:space="preserve"> - Financial Management</w:t>
      </w:r>
      <w:r w:rsidR="7DCEF4FC" w:rsidRPr="7DCEF4FC">
        <w:rPr>
          <w:rFonts w:ascii="Arial" w:hAnsi="Arial" w:cs="Arial"/>
          <w:b/>
          <w:bCs/>
          <w:i/>
          <w:iCs/>
          <w:sz w:val="24"/>
          <w:szCs w:val="24"/>
        </w:rPr>
        <w:t xml:space="preserve"> </w:t>
      </w:r>
      <w:bookmarkStart w:id="20" w:name="_Hlk523760550"/>
      <w:bookmarkEnd w:id="19"/>
    </w:p>
    <w:bookmarkEnd w:id="20"/>
    <w:p w14:paraId="2DAE8B0C" w14:textId="77777777" w:rsidR="00DD51FB" w:rsidRPr="00AD2E70" w:rsidRDefault="7DCEF4FC" w:rsidP="7DCEF4FC">
      <w:pPr>
        <w:pStyle w:val="ListParagraph"/>
        <w:numPr>
          <w:ilvl w:val="0"/>
          <w:numId w:val="34"/>
        </w:numPr>
        <w:rPr>
          <w:rFonts w:ascii="Arial" w:hAnsi="Arial" w:cs="Arial"/>
          <w:sz w:val="24"/>
          <w:szCs w:val="24"/>
        </w:rPr>
      </w:pPr>
      <w:r w:rsidRPr="7DCEF4FC">
        <w:rPr>
          <w:rFonts w:ascii="Arial" w:hAnsi="Arial" w:cs="Arial"/>
          <w:sz w:val="24"/>
          <w:szCs w:val="24"/>
        </w:rPr>
        <w:t>Have you read the discussion paper associated with this survey?</w:t>
      </w:r>
    </w:p>
    <w:p w14:paraId="1C190A87" w14:textId="77777777" w:rsidR="00DD51FB" w:rsidRPr="00AD2E70" w:rsidRDefault="7DCEF4FC" w:rsidP="7DCEF4FC">
      <w:pPr>
        <w:pStyle w:val="ListParagraph"/>
        <w:numPr>
          <w:ilvl w:val="1"/>
          <w:numId w:val="34"/>
        </w:numPr>
        <w:rPr>
          <w:rFonts w:ascii="Arial" w:hAnsi="Arial" w:cs="Arial"/>
          <w:sz w:val="24"/>
          <w:szCs w:val="24"/>
        </w:rPr>
      </w:pPr>
      <w:r w:rsidRPr="7DCEF4FC">
        <w:rPr>
          <w:rFonts w:ascii="Arial" w:hAnsi="Arial" w:cs="Arial"/>
          <w:sz w:val="24"/>
          <w:szCs w:val="24"/>
        </w:rPr>
        <w:t>Yes</w:t>
      </w:r>
    </w:p>
    <w:p w14:paraId="07B5953E" w14:textId="77777777" w:rsidR="00DD51FB" w:rsidRPr="00AD2E70" w:rsidRDefault="7DCEF4FC" w:rsidP="7DCEF4FC">
      <w:pPr>
        <w:pStyle w:val="ListParagraph"/>
        <w:numPr>
          <w:ilvl w:val="1"/>
          <w:numId w:val="34"/>
        </w:numPr>
        <w:rPr>
          <w:rFonts w:ascii="Arial" w:hAnsi="Arial" w:cs="Arial"/>
          <w:sz w:val="24"/>
          <w:szCs w:val="24"/>
        </w:rPr>
      </w:pPr>
      <w:r w:rsidRPr="7DCEF4FC">
        <w:rPr>
          <w:rFonts w:ascii="Arial" w:hAnsi="Arial" w:cs="Arial"/>
          <w:sz w:val="24"/>
          <w:szCs w:val="24"/>
        </w:rPr>
        <w:t>No</w:t>
      </w:r>
    </w:p>
    <w:p w14:paraId="5C2B27D7" w14:textId="77777777" w:rsidR="00DD51FB" w:rsidRPr="00AD2E70" w:rsidRDefault="7DCEF4FC" w:rsidP="7DCEF4FC">
      <w:pPr>
        <w:pStyle w:val="ListParagraph"/>
        <w:numPr>
          <w:ilvl w:val="0"/>
          <w:numId w:val="34"/>
        </w:numPr>
        <w:rPr>
          <w:rFonts w:ascii="Arial" w:hAnsi="Arial" w:cs="Arial"/>
          <w:sz w:val="24"/>
          <w:szCs w:val="24"/>
        </w:rPr>
      </w:pPr>
      <w:r w:rsidRPr="7DCEF4FC">
        <w:rPr>
          <w:rFonts w:ascii="Arial" w:hAnsi="Arial" w:cs="Arial"/>
          <w:sz w:val="24"/>
          <w:szCs w:val="24"/>
        </w:rPr>
        <w:t>Who are you completing this submission on behalf of?</w:t>
      </w:r>
    </w:p>
    <w:p w14:paraId="7EA44568" w14:textId="77777777" w:rsidR="00DD51FB" w:rsidRPr="00AD2E70" w:rsidRDefault="7DCEF4FC" w:rsidP="7DCEF4FC">
      <w:pPr>
        <w:pStyle w:val="ListParagraph"/>
        <w:numPr>
          <w:ilvl w:val="1"/>
          <w:numId w:val="34"/>
        </w:numPr>
        <w:rPr>
          <w:rFonts w:ascii="Arial" w:hAnsi="Arial" w:cs="Arial"/>
          <w:sz w:val="24"/>
          <w:szCs w:val="24"/>
        </w:rPr>
      </w:pPr>
      <w:r w:rsidRPr="7DCEF4FC">
        <w:rPr>
          <w:rFonts w:ascii="Arial" w:hAnsi="Arial" w:cs="Arial"/>
          <w:sz w:val="24"/>
          <w:szCs w:val="24"/>
        </w:rPr>
        <w:t>Yourself</w:t>
      </w:r>
    </w:p>
    <w:p w14:paraId="7F07B2F8" w14:textId="40598544" w:rsidR="00DD51FB" w:rsidRPr="00AD2E70" w:rsidRDefault="7DCEF4FC" w:rsidP="7DCEF4FC">
      <w:pPr>
        <w:pStyle w:val="ListParagraph"/>
        <w:numPr>
          <w:ilvl w:val="1"/>
          <w:numId w:val="34"/>
        </w:numPr>
        <w:rPr>
          <w:rFonts w:ascii="Arial" w:hAnsi="Arial" w:cs="Arial"/>
          <w:sz w:val="24"/>
          <w:szCs w:val="24"/>
        </w:rPr>
      </w:pPr>
      <w:r w:rsidRPr="7DCEF4FC">
        <w:rPr>
          <w:rFonts w:ascii="Arial" w:hAnsi="Arial" w:cs="Arial"/>
          <w:sz w:val="24"/>
          <w:szCs w:val="24"/>
        </w:rPr>
        <w:t>An organisation, including a local government, peak body or business</w:t>
      </w:r>
    </w:p>
    <w:p w14:paraId="6569CE99" w14:textId="07DF3E77" w:rsidR="00DD51FB" w:rsidRPr="00AD2E70" w:rsidRDefault="7DCEF4FC" w:rsidP="7DCEF4FC">
      <w:pPr>
        <w:pStyle w:val="ListParagraph"/>
        <w:numPr>
          <w:ilvl w:val="0"/>
          <w:numId w:val="34"/>
        </w:numPr>
        <w:rPr>
          <w:rFonts w:ascii="Arial" w:hAnsi="Arial" w:cs="Arial"/>
          <w:sz w:val="24"/>
          <w:szCs w:val="24"/>
        </w:rPr>
      </w:pPr>
      <w:r w:rsidRPr="7DCEF4FC">
        <w:rPr>
          <w:rFonts w:ascii="Arial" w:hAnsi="Arial" w:cs="Arial"/>
          <w:sz w:val="24"/>
          <w:szCs w:val="24"/>
        </w:rPr>
        <w:t>What is the name of that organisation?</w:t>
      </w:r>
    </w:p>
    <w:p w14:paraId="2727C330" w14:textId="77777777" w:rsidR="00DD51FB" w:rsidRPr="00AD2E70" w:rsidRDefault="7DCEF4FC" w:rsidP="7DCEF4FC">
      <w:pPr>
        <w:pStyle w:val="ListParagraph"/>
        <w:numPr>
          <w:ilvl w:val="0"/>
          <w:numId w:val="34"/>
        </w:numPr>
        <w:rPr>
          <w:rFonts w:ascii="Arial" w:hAnsi="Arial" w:cs="Arial"/>
          <w:sz w:val="24"/>
          <w:szCs w:val="24"/>
        </w:rPr>
      </w:pPr>
      <w:r w:rsidRPr="7DCEF4FC">
        <w:rPr>
          <w:rFonts w:ascii="Arial" w:hAnsi="Arial" w:cs="Arial"/>
          <w:sz w:val="24"/>
          <w:szCs w:val="24"/>
        </w:rPr>
        <w:t>What is your name?</w:t>
      </w:r>
    </w:p>
    <w:p w14:paraId="3B77C8BA" w14:textId="10612DD8" w:rsidR="00DD51FB" w:rsidRPr="00AD2E70" w:rsidRDefault="7DCEF4FC" w:rsidP="7DCEF4FC">
      <w:pPr>
        <w:pStyle w:val="ListParagraph"/>
        <w:numPr>
          <w:ilvl w:val="0"/>
          <w:numId w:val="34"/>
        </w:numPr>
        <w:rPr>
          <w:rFonts w:ascii="Arial" w:hAnsi="Arial" w:cs="Arial"/>
          <w:sz w:val="24"/>
          <w:szCs w:val="24"/>
        </w:rPr>
      </w:pPr>
      <w:r w:rsidRPr="7DCEF4FC">
        <w:rPr>
          <w:rFonts w:ascii="Arial" w:hAnsi="Arial" w:cs="Arial"/>
          <w:sz w:val="24"/>
          <w:szCs w:val="24"/>
        </w:rPr>
        <w:t>What best describes your relationship to local government?</w:t>
      </w:r>
    </w:p>
    <w:p w14:paraId="7D5C5B90" w14:textId="77777777" w:rsidR="00DD51FB" w:rsidRPr="00AD2E70" w:rsidRDefault="7DCEF4FC" w:rsidP="7DCEF4FC">
      <w:pPr>
        <w:pStyle w:val="ListParagraph"/>
        <w:numPr>
          <w:ilvl w:val="1"/>
          <w:numId w:val="34"/>
        </w:numPr>
        <w:rPr>
          <w:rFonts w:ascii="Arial" w:hAnsi="Arial" w:cs="Arial"/>
          <w:sz w:val="24"/>
          <w:szCs w:val="24"/>
        </w:rPr>
      </w:pPr>
      <w:r w:rsidRPr="7DCEF4FC">
        <w:rPr>
          <w:rFonts w:ascii="Arial" w:hAnsi="Arial" w:cs="Arial"/>
          <w:sz w:val="24"/>
          <w:szCs w:val="24"/>
        </w:rPr>
        <w:t>Resident / ratepayer</w:t>
      </w:r>
    </w:p>
    <w:p w14:paraId="5B3194E7" w14:textId="77777777" w:rsidR="00DD51FB" w:rsidRPr="00AD2E70" w:rsidRDefault="7DCEF4FC" w:rsidP="7DCEF4FC">
      <w:pPr>
        <w:pStyle w:val="ListParagraph"/>
        <w:numPr>
          <w:ilvl w:val="1"/>
          <w:numId w:val="34"/>
        </w:numPr>
        <w:rPr>
          <w:rFonts w:ascii="Arial" w:hAnsi="Arial" w:cs="Arial"/>
          <w:sz w:val="24"/>
          <w:szCs w:val="24"/>
        </w:rPr>
      </w:pPr>
      <w:r w:rsidRPr="7DCEF4FC">
        <w:rPr>
          <w:rFonts w:ascii="Arial" w:hAnsi="Arial" w:cs="Arial"/>
          <w:sz w:val="24"/>
          <w:szCs w:val="24"/>
        </w:rPr>
        <w:t>Staff member or CEO</w:t>
      </w:r>
    </w:p>
    <w:p w14:paraId="182A49D9" w14:textId="5BF6598E" w:rsidR="00DD51FB" w:rsidRPr="00AD2E70" w:rsidRDefault="7DCEF4FC" w:rsidP="7DCEF4FC">
      <w:pPr>
        <w:pStyle w:val="ListParagraph"/>
        <w:numPr>
          <w:ilvl w:val="1"/>
          <w:numId w:val="34"/>
        </w:numPr>
        <w:rPr>
          <w:rFonts w:ascii="Arial" w:hAnsi="Arial" w:cs="Arial"/>
          <w:sz w:val="24"/>
          <w:szCs w:val="24"/>
        </w:rPr>
      </w:pPr>
      <w:r w:rsidRPr="7DCEF4FC">
        <w:rPr>
          <w:rFonts w:ascii="Arial" w:hAnsi="Arial" w:cs="Arial"/>
          <w:sz w:val="24"/>
          <w:szCs w:val="24"/>
        </w:rPr>
        <w:t>Council member, including Mayor or President</w:t>
      </w:r>
    </w:p>
    <w:p w14:paraId="295FBAD6" w14:textId="77777777" w:rsidR="00DD51FB" w:rsidRPr="00AD2E70" w:rsidRDefault="7DCEF4FC" w:rsidP="7DCEF4FC">
      <w:pPr>
        <w:pStyle w:val="ListParagraph"/>
        <w:numPr>
          <w:ilvl w:val="1"/>
          <w:numId w:val="34"/>
        </w:numPr>
        <w:rPr>
          <w:rFonts w:ascii="Arial" w:hAnsi="Arial" w:cs="Arial"/>
          <w:sz w:val="24"/>
          <w:szCs w:val="24"/>
        </w:rPr>
      </w:pPr>
      <w:r w:rsidRPr="7DCEF4FC">
        <w:rPr>
          <w:rFonts w:ascii="Arial" w:hAnsi="Arial" w:cs="Arial"/>
          <w:sz w:val="24"/>
          <w:szCs w:val="24"/>
        </w:rPr>
        <w:t>Peak body</w:t>
      </w:r>
    </w:p>
    <w:p w14:paraId="588F75A3" w14:textId="77777777" w:rsidR="00DD51FB" w:rsidRPr="00AD2E70" w:rsidRDefault="7DCEF4FC" w:rsidP="7DCEF4FC">
      <w:pPr>
        <w:pStyle w:val="ListParagraph"/>
        <w:numPr>
          <w:ilvl w:val="1"/>
          <w:numId w:val="34"/>
        </w:numPr>
        <w:rPr>
          <w:rFonts w:ascii="Arial" w:hAnsi="Arial" w:cs="Arial"/>
          <w:sz w:val="24"/>
          <w:szCs w:val="24"/>
        </w:rPr>
      </w:pPr>
      <w:r w:rsidRPr="7DCEF4FC">
        <w:rPr>
          <w:rFonts w:ascii="Arial" w:hAnsi="Arial" w:cs="Arial"/>
          <w:sz w:val="24"/>
          <w:szCs w:val="24"/>
        </w:rPr>
        <w:t>State Government agency</w:t>
      </w:r>
    </w:p>
    <w:p w14:paraId="12A0DC83" w14:textId="77777777" w:rsidR="00DD51FB" w:rsidRPr="00AD2E70" w:rsidRDefault="7DCEF4FC" w:rsidP="7DCEF4FC">
      <w:pPr>
        <w:pStyle w:val="ListParagraph"/>
        <w:numPr>
          <w:ilvl w:val="1"/>
          <w:numId w:val="34"/>
        </w:numPr>
        <w:rPr>
          <w:rFonts w:ascii="Arial" w:hAnsi="Arial" w:cs="Arial"/>
          <w:sz w:val="24"/>
          <w:szCs w:val="24"/>
        </w:rPr>
      </w:pPr>
      <w:r w:rsidRPr="7DCEF4FC">
        <w:rPr>
          <w:rFonts w:ascii="Arial" w:hAnsi="Arial" w:cs="Arial"/>
          <w:sz w:val="24"/>
          <w:szCs w:val="24"/>
        </w:rPr>
        <w:t>Supplier or commercial partner</w:t>
      </w:r>
    </w:p>
    <w:p w14:paraId="40384F74" w14:textId="77777777" w:rsidR="00DD51FB" w:rsidRPr="00AD2E70" w:rsidRDefault="7DCEF4FC" w:rsidP="7DCEF4FC">
      <w:pPr>
        <w:pStyle w:val="ListParagraph"/>
        <w:numPr>
          <w:ilvl w:val="1"/>
          <w:numId w:val="34"/>
        </w:numPr>
        <w:rPr>
          <w:rFonts w:ascii="Arial" w:hAnsi="Arial" w:cs="Arial"/>
          <w:sz w:val="24"/>
          <w:szCs w:val="24"/>
        </w:rPr>
      </w:pPr>
      <w:r w:rsidRPr="7DCEF4FC">
        <w:rPr>
          <w:rFonts w:ascii="Arial" w:hAnsi="Arial" w:cs="Arial"/>
          <w:sz w:val="24"/>
          <w:szCs w:val="24"/>
        </w:rPr>
        <w:t>Community organisation</w:t>
      </w:r>
    </w:p>
    <w:p w14:paraId="4B4CE204" w14:textId="77777777" w:rsidR="00DD51FB" w:rsidRPr="00AD2E70" w:rsidRDefault="7DCEF4FC" w:rsidP="7DCEF4FC">
      <w:pPr>
        <w:pStyle w:val="ListParagraph"/>
        <w:numPr>
          <w:ilvl w:val="0"/>
          <w:numId w:val="34"/>
        </w:numPr>
        <w:rPr>
          <w:rFonts w:ascii="Arial" w:hAnsi="Arial" w:cs="Arial"/>
          <w:sz w:val="24"/>
          <w:szCs w:val="24"/>
        </w:rPr>
      </w:pPr>
      <w:r w:rsidRPr="7DCEF4FC">
        <w:rPr>
          <w:rFonts w:ascii="Arial" w:hAnsi="Arial" w:cs="Arial"/>
          <w:sz w:val="24"/>
          <w:szCs w:val="24"/>
        </w:rPr>
        <w:t>What best describes your gender?</w:t>
      </w:r>
    </w:p>
    <w:p w14:paraId="5F879B3A" w14:textId="77777777" w:rsidR="00DD51FB" w:rsidRPr="00AD2E70" w:rsidRDefault="7DCEF4FC" w:rsidP="7DCEF4FC">
      <w:pPr>
        <w:pStyle w:val="ListParagraph"/>
        <w:numPr>
          <w:ilvl w:val="1"/>
          <w:numId w:val="34"/>
        </w:numPr>
        <w:rPr>
          <w:rFonts w:ascii="Arial" w:hAnsi="Arial" w:cs="Arial"/>
          <w:sz w:val="24"/>
          <w:szCs w:val="24"/>
        </w:rPr>
      </w:pPr>
      <w:r w:rsidRPr="7DCEF4FC">
        <w:rPr>
          <w:rFonts w:ascii="Arial" w:hAnsi="Arial" w:cs="Arial"/>
          <w:sz w:val="24"/>
          <w:szCs w:val="24"/>
        </w:rPr>
        <w:t>Male</w:t>
      </w:r>
    </w:p>
    <w:p w14:paraId="705AEFDC" w14:textId="77777777" w:rsidR="00DD51FB" w:rsidRPr="00AD2E70" w:rsidRDefault="7DCEF4FC" w:rsidP="7DCEF4FC">
      <w:pPr>
        <w:pStyle w:val="ListParagraph"/>
        <w:numPr>
          <w:ilvl w:val="1"/>
          <w:numId w:val="34"/>
        </w:numPr>
        <w:rPr>
          <w:rFonts w:ascii="Arial" w:hAnsi="Arial" w:cs="Arial"/>
          <w:sz w:val="24"/>
          <w:szCs w:val="24"/>
        </w:rPr>
      </w:pPr>
      <w:r w:rsidRPr="7DCEF4FC">
        <w:rPr>
          <w:rFonts w:ascii="Arial" w:hAnsi="Arial" w:cs="Arial"/>
          <w:sz w:val="24"/>
          <w:szCs w:val="24"/>
        </w:rPr>
        <w:t>Female</w:t>
      </w:r>
    </w:p>
    <w:p w14:paraId="6BB0CB6C" w14:textId="77777777" w:rsidR="00DD51FB" w:rsidRPr="00AD2E70" w:rsidRDefault="7DCEF4FC" w:rsidP="7DCEF4FC">
      <w:pPr>
        <w:pStyle w:val="ListParagraph"/>
        <w:numPr>
          <w:ilvl w:val="1"/>
          <w:numId w:val="34"/>
        </w:numPr>
        <w:rPr>
          <w:rFonts w:ascii="Arial" w:hAnsi="Arial" w:cs="Arial"/>
          <w:sz w:val="24"/>
          <w:szCs w:val="24"/>
        </w:rPr>
      </w:pPr>
      <w:r w:rsidRPr="7DCEF4FC">
        <w:rPr>
          <w:rFonts w:ascii="Arial" w:hAnsi="Arial" w:cs="Arial"/>
          <w:sz w:val="24"/>
          <w:szCs w:val="24"/>
        </w:rPr>
        <w:t>Other</w:t>
      </w:r>
    </w:p>
    <w:p w14:paraId="7878DBDA" w14:textId="77777777" w:rsidR="00DD51FB" w:rsidRPr="00AD2E70" w:rsidRDefault="7DCEF4FC" w:rsidP="7DCEF4FC">
      <w:pPr>
        <w:pStyle w:val="ListParagraph"/>
        <w:numPr>
          <w:ilvl w:val="1"/>
          <w:numId w:val="34"/>
        </w:numPr>
        <w:rPr>
          <w:rFonts w:ascii="Arial" w:hAnsi="Arial" w:cs="Arial"/>
          <w:sz w:val="24"/>
          <w:szCs w:val="24"/>
        </w:rPr>
      </w:pPr>
      <w:r w:rsidRPr="7DCEF4FC">
        <w:rPr>
          <w:rFonts w:ascii="Arial" w:hAnsi="Arial" w:cs="Arial"/>
          <w:sz w:val="24"/>
          <w:szCs w:val="24"/>
        </w:rPr>
        <w:t>Not applicable / the submission is from an organisation</w:t>
      </w:r>
    </w:p>
    <w:p w14:paraId="4F973082" w14:textId="77777777" w:rsidR="00DD51FB" w:rsidRPr="00AD2E70" w:rsidRDefault="7DCEF4FC" w:rsidP="7DCEF4FC">
      <w:pPr>
        <w:pStyle w:val="ListParagraph"/>
        <w:numPr>
          <w:ilvl w:val="0"/>
          <w:numId w:val="34"/>
        </w:numPr>
        <w:rPr>
          <w:rFonts w:ascii="Arial" w:hAnsi="Arial" w:cs="Arial"/>
          <w:sz w:val="24"/>
          <w:szCs w:val="24"/>
        </w:rPr>
      </w:pPr>
      <w:r w:rsidRPr="7DCEF4FC">
        <w:rPr>
          <w:rFonts w:ascii="Arial" w:hAnsi="Arial" w:cs="Arial"/>
          <w:sz w:val="24"/>
          <w:szCs w:val="24"/>
        </w:rPr>
        <w:t>What is your age?</w:t>
      </w:r>
    </w:p>
    <w:p w14:paraId="762CBDDF" w14:textId="77777777" w:rsidR="00DD51FB" w:rsidRPr="00AD2E70" w:rsidRDefault="7DCEF4FC" w:rsidP="7DCEF4FC">
      <w:pPr>
        <w:pStyle w:val="ListParagraph"/>
        <w:numPr>
          <w:ilvl w:val="1"/>
          <w:numId w:val="34"/>
        </w:numPr>
        <w:rPr>
          <w:rFonts w:ascii="Arial" w:hAnsi="Arial" w:cs="Arial"/>
          <w:sz w:val="24"/>
          <w:szCs w:val="24"/>
        </w:rPr>
      </w:pPr>
      <w:r w:rsidRPr="7DCEF4FC">
        <w:rPr>
          <w:rFonts w:ascii="Arial" w:hAnsi="Arial" w:cs="Arial"/>
          <w:sz w:val="24"/>
          <w:szCs w:val="24"/>
        </w:rPr>
        <w:t>0 – 18</w:t>
      </w:r>
    </w:p>
    <w:p w14:paraId="2D7CFB44" w14:textId="77777777" w:rsidR="00DD51FB" w:rsidRPr="00AD2E70" w:rsidRDefault="7DCEF4FC" w:rsidP="7DCEF4FC">
      <w:pPr>
        <w:pStyle w:val="ListParagraph"/>
        <w:numPr>
          <w:ilvl w:val="1"/>
          <w:numId w:val="34"/>
        </w:numPr>
        <w:rPr>
          <w:rFonts w:ascii="Arial" w:hAnsi="Arial" w:cs="Arial"/>
          <w:sz w:val="24"/>
          <w:szCs w:val="24"/>
        </w:rPr>
      </w:pPr>
      <w:r w:rsidRPr="7DCEF4FC">
        <w:rPr>
          <w:rFonts w:ascii="Arial" w:hAnsi="Arial" w:cs="Arial"/>
          <w:sz w:val="24"/>
          <w:szCs w:val="24"/>
        </w:rPr>
        <w:t>19 – 35</w:t>
      </w:r>
    </w:p>
    <w:p w14:paraId="2EC01EDE" w14:textId="77777777" w:rsidR="00DD51FB" w:rsidRPr="00AD2E70" w:rsidRDefault="7DCEF4FC" w:rsidP="7DCEF4FC">
      <w:pPr>
        <w:pStyle w:val="ListParagraph"/>
        <w:numPr>
          <w:ilvl w:val="1"/>
          <w:numId w:val="34"/>
        </w:numPr>
        <w:rPr>
          <w:rFonts w:ascii="Arial" w:hAnsi="Arial" w:cs="Arial"/>
          <w:sz w:val="24"/>
          <w:szCs w:val="24"/>
        </w:rPr>
      </w:pPr>
      <w:r w:rsidRPr="7DCEF4FC">
        <w:rPr>
          <w:rFonts w:ascii="Arial" w:hAnsi="Arial" w:cs="Arial"/>
          <w:sz w:val="24"/>
          <w:szCs w:val="24"/>
        </w:rPr>
        <w:t>36 – 45</w:t>
      </w:r>
    </w:p>
    <w:p w14:paraId="1B6D0936" w14:textId="77777777" w:rsidR="00DD51FB" w:rsidRPr="00AD2E70" w:rsidRDefault="7DCEF4FC" w:rsidP="7DCEF4FC">
      <w:pPr>
        <w:pStyle w:val="ListParagraph"/>
        <w:numPr>
          <w:ilvl w:val="1"/>
          <w:numId w:val="34"/>
        </w:numPr>
        <w:rPr>
          <w:rFonts w:ascii="Arial" w:hAnsi="Arial" w:cs="Arial"/>
          <w:sz w:val="24"/>
          <w:szCs w:val="24"/>
        </w:rPr>
      </w:pPr>
      <w:r w:rsidRPr="7DCEF4FC">
        <w:rPr>
          <w:rFonts w:ascii="Arial" w:hAnsi="Arial" w:cs="Arial"/>
          <w:sz w:val="24"/>
          <w:szCs w:val="24"/>
        </w:rPr>
        <w:t>46 – 55</w:t>
      </w:r>
    </w:p>
    <w:p w14:paraId="410718EF" w14:textId="77777777" w:rsidR="00DD51FB" w:rsidRPr="00AD2E70" w:rsidRDefault="7DCEF4FC" w:rsidP="7DCEF4FC">
      <w:pPr>
        <w:pStyle w:val="ListParagraph"/>
        <w:numPr>
          <w:ilvl w:val="1"/>
          <w:numId w:val="34"/>
        </w:numPr>
        <w:rPr>
          <w:rFonts w:ascii="Arial" w:hAnsi="Arial" w:cs="Arial"/>
          <w:sz w:val="24"/>
          <w:szCs w:val="24"/>
        </w:rPr>
      </w:pPr>
      <w:r w:rsidRPr="7DCEF4FC">
        <w:rPr>
          <w:rFonts w:ascii="Arial" w:hAnsi="Arial" w:cs="Arial"/>
          <w:sz w:val="24"/>
          <w:szCs w:val="24"/>
        </w:rPr>
        <w:t>56 – 65</w:t>
      </w:r>
    </w:p>
    <w:p w14:paraId="48546B21" w14:textId="77777777" w:rsidR="00DD51FB" w:rsidRPr="00AD2E70" w:rsidRDefault="7DCEF4FC" w:rsidP="7DCEF4FC">
      <w:pPr>
        <w:pStyle w:val="ListParagraph"/>
        <w:numPr>
          <w:ilvl w:val="1"/>
          <w:numId w:val="34"/>
        </w:numPr>
        <w:rPr>
          <w:rFonts w:ascii="Arial" w:hAnsi="Arial" w:cs="Arial"/>
          <w:sz w:val="24"/>
          <w:szCs w:val="24"/>
        </w:rPr>
      </w:pPr>
      <w:r w:rsidRPr="7DCEF4FC">
        <w:rPr>
          <w:rFonts w:ascii="Arial" w:hAnsi="Arial" w:cs="Arial"/>
          <w:sz w:val="24"/>
          <w:szCs w:val="24"/>
        </w:rPr>
        <w:t>66 – 75</w:t>
      </w:r>
    </w:p>
    <w:p w14:paraId="699EB6D0" w14:textId="77777777" w:rsidR="00DD51FB" w:rsidRPr="00AD2E70" w:rsidRDefault="7DCEF4FC" w:rsidP="7DCEF4FC">
      <w:pPr>
        <w:pStyle w:val="ListParagraph"/>
        <w:numPr>
          <w:ilvl w:val="1"/>
          <w:numId w:val="34"/>
        </w:numPr>
        <w:rPr>
          <w:rFonts w:ascii="Arial" w:hAnsi="Arial" w:cs="Arial"/>
          <w:sz w:val="24"/>
          <w:szCs w:val="24"/>
        </w:rPr>
      </w:pPr>
      <w:r w:rsidRPr="7DCEF4FC">
        <w:rPr>
          <w:rFonts w:ascii="Arial" w:hAnsi="Arial" w:cs="Arial"/>
          <w:sz w:val="24"/>
          <w:szCs w:val="24"/>
        </w:rPr>
        <w:t>76+</w:t>
      </w:r>
    </w:p>
    <w:p w14:paraId="08D84400" w14:textId="77777777" w:rsidR="00DD51FB" w:rsidRPr="00AD2E70" w:rsidRDefault="7DCEF4FC" w:rsidP="7DCEF4FC">
      <w:pPr>
        <w:pStyle w:val="ListParagraph"/>
        <w:numPr>
          <w:ilvl w:val="1"/>
          <w:numId w:val="34"/>
        </w:numPr>
        <w:rPr>
          <w:rFonts w:ascii="Arial" w:hAnsi="Arial" w:cs="Arial"/>
          <w:sz w:val="24"/>
          <w:szCs w:val="24"/>
        </w:rPr>
      </w:pPr>
      <w:r w:rsidRPr="7DCEF4FC">
        <w:rPr>
          <w:rFonts w:ascii="Arial" w:hAnsi="Arial" w:cs="Arial"/>
          <w:sz w:val="24"/>
          <w:szCs w:val="24"/>
        </w:rPr>
        <w:t>Not applicable</w:t>
      </w:r>
    </w:p>
    <w:p w14:paraId="6BB55FD5" w14:textId="4D3610C1" w:rsidR="00DD51FB" w:rsidRPr="00AD2E70" w:rsidRDefault="7DCEF4FC" w:rsidP="7DCEF4FC">
      <w:pPr>
        <w:pStyle w:val="ListParagraph"/>
        <w:numPr>
          <w:ilvl w:val="0"/>
          <w:numId w:val="34"/>
        </w:numPr>
        <w:rPr>
          <w:rFonts w:ascii="Arial" w:hAnsi="Arial" w:cs="Arial"/>
          <w:sz w:val="24"/>
          <w:szCs w:val="24"/>
        </w:rPr>
      </w:pPr>
      <w:r w:rsidRPr="7DCEF4FC">
        <w:rPr>
          <w:rFonts w:ascii="Arial" w:hAnsi="Arial" w:cs="Arial"/>
          <w:sz w:val="24"/>
          <w:szCs w:val="24"/>
        </w:rPr>
        <w:t>Which local government do you interact with most?</w:t>
      </w:r>
    </w:p>
    <w:p w14:paraId="282A522F" w14:textId="77777777" w:rsidR="00DD51FB" w:rsidRPr="00AD2E70" w:rsidRDefault="7DCEF4FC" w:rsidP="7DCEF4FC">
      <w:pPr>
        <w:pStyle w:val="ListParagraph"/>
        <w:numPr>
          <w:ilvl w:val="0"/>
          <w:numId w:val="34"/>
        </w:numPr>
        <w:rPr>
          <w:rFonts w:ascii="Arial" w:hAnsi="Arial" w:cs="Arial"/>
          <w:sz w:val="24"/>
          <w:szCs w:val="24"/>
        </w:rPr>
      </w:pPr>
      <w:r w:rsidRPr="7DCEF4FC">
        <w:rPr>
          <w:rFonts w:ascii="Arial" w:hAnsi="Arial" w:cs="Arial"/>
          <w:sz w:val="24"/>
          <w:szCs w:val="24"/>
        </w:rPr>
        <w:t xml:space="preserve">Would you like to be updated on the progress of the </w:t>
      </w:r>
      <w:r w:rsidRPr="7DCEF4FC">
        <w:rPr>
          <w:rFonts w:ascii="Arial" w:hAnsi="Arial" w:cs="Arial"/>
          <w:i/>
          <w:iCs/>
          <w:sz w:val="24"/>
          <w:szCs w:val="24"/>
        </w:rPr>
        <w:t>Local Government Act 1995</w:t>
      </w:r>
      <w:r w:rsidRPr="7DCEF4FC">
        <w:rPr>
          <w:rFonts w:ascii="Arial" w:hAnsi="Arial" w:cs="Arial"/>
          <w:sz w:val="24"/>
          <w:szCs w:val="24"/>
        </w:rPr>
        <w:t xml:space="preserve"> review and further opportunities to have your say?</w:t>
      </w:r>
    </w:p>
    <w:p w14:paraId="7A9FACD0" w14:textId="77777777" w:rsidR="00DD51FB" w:rsidRPr="00AD2E70" w:rsidRDefault="7DCEF4FC" w:rsidP="7DCEF4FC">
      <w:pPr>
        <w:pStyle w:val="ListParagraph"/>
        <w:numPr>
          <w:ilvl w:val="1"/>
          <w:numId w:val="34"/>
        </w:numPr>
        <w:rPr>
          <w:rFonts w:ascii="Arial" w:hAnsi="Arial" w:cs="Arial"/>
          <w:sz w:val="24"/>
          <w:szCs w:val="24"/>
        </w:rPr>
      </w:pPr>
      <w:r w:rsidRPr="7DCEF4FC">
        <w:rPr>
          <w:rFonts w:ascii="Arial" w:hAnsi="Arial" w:cs="Arial"/>
          <w:sz w:val="24"/>
          <w:szCs w:val="24"/>
        </w:rPr>
        <w:t>Yes</w:t>
      </w:r>
    </w:p>
    <w:p w14:paraId="5AB59C4D" w14:textId="77777777" w:rsidR="00DD51FB" w:rsidRPr="00AD2E70" w:rsidRDefault="7DCEF4FC" w:rsidP="7DCEF4FC">
      <w:pPr>
        <w:pStyle w:val="ListParagraph"/>
        <w:numPr>
          <w:ilvl w:val="1"/>
          <w:numId w:val="34"/>
        </w:numPr>
        <w:rPr>
          <w:rFonts w:ascii="Arial" w:hAnsi="Arial" w:cs="Arial"/>
          <w:sz w:val="24"/>
          <w:szCs w:val="24"/>
        </w:rPr>
      </w:pPr>
      <w:r w:rsidRPr="7DCEF4FC">
        <w:rPr>
          <w:rFonts w:ascii="Arial" w:hAnsi="Arial" w:cs="Arial"/>
          <w:sz w:val="24"/>
          <w:szCs w:val="24"/>
        </w:rPr>
        <w:t>No</w:t>
      </w:r>
    </w:p>
    <w:p w14:paraId="043A0FD1" w14:textId="77777777" w:rsidR="00DD51FB" w:rsidRPr="00AD2E70" w:rsidRDefault="7DCEF4FC" w:rsidP="7DCEF4FC">
      <w:pPr>
        <w:pStyle w:val="ListParagraph"/>
        <w:numPr>
          <w:ilvl w:val="0"/>
          <w:numId w:val="34"/>
        </w:numPr>
        <w:rPr>
          <w:rFonts w:ascii="Arial" w:hAnsi="Arial" w:cs="Arial"/>
          <w:sz w:val="24"/>
          <w:szCs w:val="24"/>
        </w:rPr>
      </w:pPr>
      <w:r w:rsidRPr="7DCEF4FC">
        <w:rPr>
          <w:rFonts w:ascii="Arial" w:hAnsi="Arial" w:cs="Arial"/>
          <w:sz w:val="24"/>
          <w:szCs w:val="24"/>
        </w:rPr>
        <w:t>Do you wish for your response to this survey to be confidential?</w:t>
      </w:r>
    </w:p>
    <w:p w14:paraId="427D703C" w14:textId="77777777" w:rsidR="00DD51FB" w:rsidRPr="00AD2E70" w:rsidRDefault="7DCEF4FC" w:rsidP="7DCEF4FC">
      <w:pPr>
        <w:pStyle w:val="ListParagraph"/>
        <w:numPr>
          <w:ilvl w:val="1"/>
          <w:numId w:val="34"/>
        </w:numPr>
        <w:rPr>
          <w:rFonts w:ascii="Arial" w:hAnsi="Arial" w:cs="Arial"/>
          <w:sz w:val="24"/>
          <w:szCs w:val="24"/>
        </w:rPr>
      </w:pPr>
      <w:r w:rsidRPr="7DCEF4FC">
        <w:rPr>
          <w:rFonts w:ascii="Arial" w:hAnsi="Arial" w:cs="Arial"/>
          <w:sz w:val="24"/>
          <w:szCs w:val="24"/>
        </w:rPr>
        <w:t>Yes</w:t>
      </w:r>
    </w:p>
    <w:p w14:paraId="6147872F" w14:textId="77777777" w:rsidR="00DD51FB" w:rsidRPr="00AD2E70" w:rsidRDefault="7DCEF4FC" w:rsidP="7DCEF4FC">
      <w:pPr>
        <w:pStyle w:val="ListParagraph"/>
        <w:numPr>
          <w:ilvl w:val="1"/>
          <w:numId w:val="34"/>
        </w:numPr>
        <w:rPr>
          <w:rFonts w:ascii="Arial" w:hAnsi="Arial" w:cs="Arial"/>
          <w:sz w:val="24"/>
          <w:szCs w:val="24"/>
        </w:rPr>
      </w:pPr>
      <w:r w:rsidRPr="7DCEF4FC">
        <w:rPr>
          <w:rFonts w:ascii="Arial" w:hAnsi="Arial" w:cs="Arial"/>
          <w:sz w:val="24"/>
          <w:szCs w:val="24"/>
        </w:rPr>
        <w:t>No</w:t>
      </w:r>
    </w:p>
    <w:p w14:paraId="5FE08367" w14:textId="06A28BB9" w:rsidR="00E314A7" w:rsidRPr="00E314A7" w:rsidRDefault="7DCEF4FC" w:rsidP="7DCEF4FC">
      <w:pPr>
        <w:pStyle w:val="ListParagraph"/>
        <w:numPr>
          <w:ilvl w:val="0"/>
          <w:numId w:val="34"/>
        </w:numPr>
        <w:rPr>
          <w:rFonts w:ascii="Arial" w:hAnsi="Arial" w:cs="Arial"/>
          <w:sz w:val="24"/>
          <w:szCs w:val="24"/>
        </w:rPr>
      </w:pPr>
      <w:r w:rsidRPr="7DCEF4FC">
        <w:rPr>
          <w:rFonts w:ascii="Arial" w:hAnsi="Arial" w:cs="Arial"/>
          <w:sz w:val="24"/>
          <w:szCs w:val="24"/>
        </w:rPr>
        <w:t>What is your email address?</w:t>
      </w:r>
    </w:p>
    <w:p w14:paraId="0EE8E148" w14:textId="77777777" w:rsidR="00E314A7" w:rsidRDefault="00E314A7">
      <w:pPr>
        <w:rPr>
          <w:rFonts w:ascii="Arial" w:hAnsi="Arial" w:cs="Arial"/>
          <w:sz w:val="24"/>
        </w:rPr>
      </w:pPr>
      <w:bookmarkStart w:id="21" w:name="_Hlk523760567"/>
      <w:r>
        <w:rPr>
          <w:rFonts w:ascii="Arial" w:hAnsi="Arial" w:cs="Arial"/>
          <w:sz w:val="24"/>
        </w:rPr>
        <w:br w:type="page"/>
      </w:r>
    </w:p>
    <w:p w14:paraId="0D9DC046" w14:textId="02DA61DC" w:rsidR="00DD51FB" w:rsidRPr="00AD2E70" w:rsidRDefault="7DCEF4FC" w:rsidP="7DCEF4FC">
      <w:pPr>
        <w:pStyle w:val="ListParagraph"/>
        <w:numPr>
          <w:ilvl w:val="0"/>
          <w:numId w:val="34"/>
        </w:numPr>
        <w:rPr>
          <w:rFonts w:ascii="Arial" w:hAnsi="Arial" w:cs="Arial"/>
          <w:sz w:val="24"/>
          <w:szCs w:val="24"/>
        </w:rPr>
      </w:pPr>
      <w:r w:rsidRPr="7DCEF4FC">
        <w:rPr>
          <w:rFonts w:ascii="Arial" w:hAnsi="Arial" w:cs="Arial"/>
          <w:sz w:val="24"/>
          <w:szCs w:val="24"/>
        </w:rPr>
        <w:lastRenderedPageBreak/>
        <w:t>To what extent do you support the following statements?</w:t>
      </w:r>
    </w:p>
    <w:tbl>
      <w:tblPr>
        <w:tblStyle w:val="DLGCTable-Form2"/>
        <w:tblW w:w="10491" w:type="dxa"/>
        <w:tblInd w:w="-431" w:type="dxa"/>
        <w:tblLook w:val="04A0" w:firstRow="1" w:lastRow="0" w:firstColumn="1" w:lastColumn="0" w:noHBand="0" w:noVBand="1"/>
      </w:tblPr>
      <w:tblGrid>
        <w:gridCol w:w="6346"/>
        <w:gridCol w:w="850"/>
        <w:gridCol w:w="746"/>
        <w:gridCol w:w="850"/>
        <w:gridCol w:w="849"/>
        <w:gridCol w:w="850"/>
      </w:tblGrid>
      <w:tr w:rsidR="00DD51FB" w:rsidRPr="00A547A0" w14:paraId="09C2C836" w14:textId="77777777" w:rsidTr="7DCEF4FC">
        <w:trPr>
          <w:cnfStyle w:val="100000000000" w:firstRow="1" w:lastRow="0" w:firstColumn="0" w:lastColumn="0" w:oddVBand="0" w:evenVBand="0" w:oddHBand="0" w:evenHBand="0" w:firstRowFirstColumn="0" w:firstRowLastColumn="0" w:lastRowFirstColumn="0" w:lastRowLastColumn="0"/>
          <w:cantSplit/>
          <w:trHeight w:val="2364"/>
        </w:trPr>
        <w:tc>
          <w:tcPr>
            <w:tcW w:w="6366" w:type="dxa"/>
          </w:tcPr>
          <w:p w14:paraId="75B39D8D" w14:textId="77777777" w:rsidR="00DD51FB" w:rsidRPr="00A547A0" w:rsidRDefault="00DD51FB" w:rsidP="00A547A0">
            <w:pPr>
              <w:spacing w:before="120" w:after="120"/>
              <w:rPr>
                <w:rFonts w:eastAsia="Calibri" w:cs="Arial"/>
                <w:b w:val="0"/>
                <w:szCs w:val="24"/>
              </w:rPr>
            </w:pPr>
            <w:bookmarkStart w:id="22" w:name="_Hlk523312004"/>
          </w:p>
        </w:tc>
        <w:tc>
          <w:tcPr>
            <w:tcW w:w="850" w:type="dxa"/>
            <w:textDirection w:val="btLr"/>
          </w:tcPr>
          <w:p w14:paraId="06B024E2" w14:textId="77777777" w:rsidR="00DD51FB" w:rsidRPr="00A547A0" w:rsidRDefault="7DCEF4FC" w:rsidP="7DCEF4FC">
            <w:pPr>
              <w:spacing w:before="120" w:after="120"/>
              <w:rPr>
                <w:rFonts w:eastAsia="Calibri" w:cs="Arial"/>
                <w:b w:val="0"/>
              </w:rPr>
            </w:pPr>
            <w:r w:rsidRPr="7DCEF4FC">
              <w:rPr>
                <w:rFonts w:eastAsia="Calibri" w:cs="Arial"/>
                <w:b w:val="0"/>
              </w:rPr>
              <w:t>Very unsupportive</w:t>
            </w:r>
          </w:p>
        </w:tc>
        <w:tc>
          <w:tcPr>
            <w:tcW w:w="723" w:type="dxa"/>
            <w:textDirection w:val="btLr"/>
          </w:tcPr>
          <w:p w14:paraId="2E83B2EA" w14:textId="77777777" w:rsidR="00DD51FB" w:rsidRPr="00A547A0" w:rsidRDefault="7DCEF4FC" w:rsidP="7DCEF4FC">
            <w:pPr>
              <w:spacing w:before="120" w:after="120"/>
              <w:rPr>
                <w:rFonts w:eastAsia="Calibri" w:cs="Arial"/>
                <w:b w:val="0"/>
              </w:rPr>
            </w:pPr>
            <w:r w:rsidRPr="7DCEF4FC">
              <w:rPr>
                <w:rFonts w:eastAsia="Calibri" w:cs="Arial"/>
                <w:b w:val="0"/>
              </w:rPr>
              <w:t>Unsupportive</w:t>
            </w:r>
          </w:p>
        </w:tc>
        <w:tc>
          <w:tcPr>
            <w:tcW w:w="851" w:type="dxa"/>
            <w:textDirection w:val="btLr"/>
          </w:tcPr>
          <w:p w14:paraId="0D73996C" w14:textId="77777777" w:rsidR="00DD51FB" w:rsidRPr="00A547A0" w:rsidRDefault="7DCEF4FC" w:rsidP="7DCEF4FC">
            <w:pPr>
              <w:spacing w:before="120" w:after="120"/>
              <w:rPr>
                <w:rFonts w:eastAsia="Calibri" w:cs="Arial"/>
                <w:b w:val="0"/>
              </w:rPr>
            </w:pPr>
            <w:r w:rsidRPr="7DCEF4FC">
              <w:rPr>
                <w:rFonts w:eastAsia="Calibri" w:cs="Arial"/>
                <w:b w:val="0"/>
              </w:rPr>
              <w:t>Neutral</w:t>
            </w:r>
          </w:p>
        </w:tc>
        <w:tc>
          <w:tcPr>
            <w:tcW w:w="850" w:type="dxa"/>
            <w:textDirection w:val="btLr"/>
          </w:tcPr>
          <w:p w14:paraId="26D1729E" w14:textId="77777777" w:rsidR="00DD51FB" w:rsidRPr="00A547A0" w:rsidRDefault="7DCEF4FC" w:rsidP="7DCEF4FC">
            <w:pPr>
              <w:spacing w:before="120" w:after="120"/>
              <w:rPr>
                <w:rFonts w:eastAsia="Calibri" w:cs="Arial"/>
                <w:b w:val="0"/>
              </w:rPr>
            </w:pPr>
            <w:r w:rsidRPr="7DCEF4FC">
              <w:rPr>
                <w:rFonts w:eastAsia="Calibri" w:cs="Arial"/>
                <w:b w:val="0"/>
              </w:rPr>
              <w:t>Supportive</w:t>
            </w:r>
          </w:p>
        </w:tc>
        <w:tc>
          <w:tcPr>
            <w:tcW w:w="851" w:type="dxa"/>
            <w:textDirection w:val="btLr"/>
          </w:tcPr>
          <w:p w14:paraId="4C26DB95" w14:textId="709558FB" w:rsidR="00DD51FB" w:rsidRPr="00A547A0" w:rsidRDefault="7DCEF4FC" w:rsidP="7DCEF4FC">
            <w:pPr>
              <w:spacing w:before="120" w:after="120"/>
              <w:rPr>
                <w:rFonts w:eastAsia="Calibri" w:cs="Arial"/>
                <w:b w:val="0"/>
              </w:rPr>
            </w:pPr>
            <w:r w:rsidRPr="7DCEF4FC">
              <w:rPr>
                <w:rFonts w:eastAsia="Calibri" w:cs="Arial"/>
                <w:b w:val="0"/>
              </w:rPr>
              <w:t>Very supportive</w:t>
            </w:r>
          </w:p>
        </w:tc>
      </w:tr>
      <w:tr w:rsidR="00DD51FB" w:rsidRPr="00A547A0" w14:paraId="4A87DEC1" w14:textId="77777777" w:rsidTr="7DCEF4FC">
        <w:tc>
          <w:tcPr>
            <w:tcW w:w="6366" w:type="dxa"/>
          </w:tcPr>
          <w:p w14:paraId="64E7D245" w14:textId="233073F0" w:rsidR="00DD51FB" w:rsidRPr="00A547A0" w:rsidRDefault="7DCEF4FC" w:rsidP="7DCEF4FC">
            <w:pPr>
              <w:spacing w:before="120" w:after="120"/>
              <w:rPr>
                <w:rFonts w:eastAsia="Calibri" w:cs="Arial"/>
              </w:rPr>
            </w:pPr>
            <w:r w:rsidRPr="7DCEF4FC">
              <w:rPr>
                <w:rFonts w:eastAsia="Calibri" w:cs="Arial"/>
              </w:rPr>
              <w:t>“Local government purchasing rules should be consistent with the State Government.”</w:t>
            </w:r>
          </w:p>
        </w:tc>
        <w:tc>
          <w:tcPr>
            <w:tcW w:w="850" w:type="dxa"/>
          </w:tcPr>
          <w:p w14:paraId="2C7A8074" w14:textId="77777777" w:rsidR="00DD51FB" w:rsidRPr="00A547A0" w:rsidRDefault="00DD51FB" w:rsidP="00A547A0">
            <w:pPr>
              <w:spacing w:before="120" w:after="120"/>
              <w:rPr>
                <w:rFonts w:eastAsia="Calibri" w:cs="Arial"/>
                <w:szCs w:val="24"/>
              </w:rPr>
            </w:pPr>
          </w:p>
        </w:tc>
        <w:tc>
          <w:tcPr>
            <w:tcW w:w="723" w:type="dxa"/>
          </w:tcPr>
          <w:p w14:paraId="729E9E61" w14:textId="77777777" w:rsidR="00DD51FB" w:rsidRPr="00A547A0" w:rsidRDefault="00DD51FB" w:rsidP="00A547A0">
            <w:pPr>
              <w:spacing w:before="120" w:after="120"/>
              <w:rPr>
                <w:rFonts w:eastAsia="Calibri" w:cs="Arial"/>
                <w:szCs w:val="24"/>
              </w:rPr>
            </w:pPr>
          </w:p>
        </w:tc>
        <w:tc>
          <w:tcPr>
            <w:tcW w:w="851" w:type="dxa"/>
          </w:tcPr>
          <w:p w14:paraId="4A2EF0F0" w14:textId="77777777" w:rsidR="00DD51FB" w:rsidRPr="00A547A0" w:rsidRDefault="00DD51FB" w:rsidP="00A547A0">
            <w:pPr>
              <w:spacing w:before="120" w:after="120"/>
              <w:rPr>
                <w:rFonts w:eastAsia="Calibri" w:cs="Arial"/>
                <w:szCs w:val="24"/>
              </w:rPr>
            </w:pPr>
          </w:p>
        </w:tc>
        <w:tc>
          <w:tcPr>
            <w:tcW w:w="850" w:type="dxa"/>
          </w:tcPr>
          <w:p w14:paraId="05DE1137" w14:textId="77777777" w:rsidR="00DD51FB" w:rsidRPr="00A547A0" w:rsidRDefault="00DD51FB" w:rsidP="00A547A0">
            <w:pPr>
              <w:spacing w:before="120" w:after="120"/>
              <w:rPr>
                <w:rFonts w:eastAsia="Calibri" w:cs="Arial"/>
                <w:szCs w:val="24"/>
              </w:rPr>
            </w:pPr>
          </w:p>
        </w:tc>
        <w:tc>
          <w:tcPr>
            <w:tcW w:w="851" w:type="dxa"/>
          </w:tcPr>
          <w:p w14:paraId="33471F48" w14:textId="77777777" w:rsidR="00DD51FB" w:rsidRPr="00A547A0" w:rsidRDefault="00DD51FB" w:rsidP="00A547A0">
            <w:pPr>
              <w:spacing w:before="120" w:after="120"/>
              <w:rPr>
                <w:rFonts w:eastAsia="Calibri" w:cs="Arial"/>
                <w:szCs w:val="24"/>
              </w:rPr>
            </w:pPr>
          </w:p>
        </w:tc>
      </w:tr>
      <w:tr w:rsidR="00DD51FB" w:rsidRPr="00A547A0" w14:paraId="5B091333" w14:textId="77777777" w:rsidTr="7DCEF4FC">
        <w:tc>
          <w:tcPr>
            <w:tcW w:w="6366" w:type="dxa"/>
          </w:tcPr>
          <w:p w14:paraId="60A7CC22" w14:textId="7DCFF7B1" w:rsidR="00DD51FB" w:rsidRPr="00A547A0" w:rsidRDefault="7DCEF4FC" w:rsidP="7DCEF4FC">
            <w:pPr>
              <w:spacing w:before="120" w:after="120"/>
              <w:rPr>
                <w:rFonts w:eastAsia="Calibri" w:cs="Arial"/>
              </w:rPr>
            </w:pPr>
            <w:r w:rsidRPr="7DCEF4FC">
              <w:rPr>
                <w:rFonts w:eastAsia="Calibri" w:cs="Arial"/>
              </w:rPr>
              <w:t>“Different procurement rules should apply to different local governments.”</w:t>
            </w:r>
          </w:p>
        </w:tc>
        <w:tc>
          <w:tcPr>
            <w:tcW w:w="850" w:type="dxa"/>
          </w:tcPr>
          <w:p w14:paraId="204F2F29" w14:textId="77777777" w:rsidR="00DD51FB" w:rsidRPr="00A547A0" w:rsidRDefault="00DD51FB" w:rsidP="00A547A0">
            <w:pPr>
              <w:spacing w:before="120" w:after="120"/>
              <w:rPr>
                <w:rFonts w:eastAsia="Calibri" w:cs="Arial"/>
                <w:szCs w:val="24"/>
              </w:rPr>
            </w:pPr>
          </w:p>
        </w:tc>
        <w:tc>
          <w:tcPr>
            <w:tcW w:w="723" w:type="dxa"/>
          </w:tcPr>
          <w:p w14:paraId="18D10692" w14:textId="77777777" w:rsidR="00DD51FB" w:rsidRPr="00A547A0" w:rsidRDefault="00DD51FB" w:rsidP="00A547A0">
            <w:pPr>
              <w:spacing w:before="120" w:after="120"/>
              <w:rPr>
                <w:rFonts w:eastAsia="Calibri" w:cs="Arial"/>
                <w:szCs w:val="24"/>
              </w:rPr>
            </w:pPr>
          </w:p>
        </w:tc>
        <w:tc>
          <w:tcPr>
            <w:tcW w:w="851" w:type="dxa"/>
          </w:tcPr>
          <w:p w14:paraId="25F5DE3D" w14:textId="77777777" w:rsidR="00DD51FB" w:rsidRPr="00A547A0" w:rsidRDefault="00DD51FB" w:rsidP="00A547A0">
            <w:pPr>
              <w:spacing w:before="120" w:after="120"/>
              <w:rPr>
                <w:rFonts w:eastAsia="Calibri" w:cs="Arial"/>
                <w:szCs w:val="24"/>
              </w:rPr>
            </w:pPr>
          </w:p>
        </w:tc>
        <w:tc>
          <w:tcPr>
            <w:tcW w:w="850" w:type="dxa"/>
          </w:tcPr>
          <w:p w14:paraId="645BA3C6" w14:textId="77777777" w:rsidR="00DD51FB" w:rsidRPr="00A547A0" w:rsidRDefault="00DD51FB" w:rsidP="00A547A0">
            <w:pPr>
              <w:spacing w:before="120" w:after="120"/>
              <w:rPr>
                <w:rFonts w:eastAsia="Calibri" w:cs="Arial"/>
                <w:szCs w:val="24"/>
              </w:rPr>
            </w:pPr>
          </w:p>
        </w:tc>
        <w:tc>
          <w:tcPr>
            <w:tcW w:w="851" w:type="dxa"/>
          </w:tcPr>
          <w:p w14:paraId="2AA6C610" w14:textId="77777777" w:rsidR="00DD51FB" w:rsidRPr="00A547A0" w:rsidRDefault="00DD51FB" w:rsidP="00A547A0">
            <w:pPr>
              <w:spacing w:before="120" w:after="120"/>
              <w:rPr>
                <w:rFonts w:eastAsia="Calibri" w:cs="Arial"/>
                <w:szCs w:val="24"/>
              </w:rPr>
            </w:pPr>
          </w:p>
        </w:tc>
      </w:tr>
      <w:tr w:rsidR="00DD51FB" w:rsidRPr="00A547A0" w14:paraId="4D56D2BD" w14:textId="77777777" w:rsidTr="7DCEF4FC">
        <w:tc>
          <w:tcPr>
            <w:tcW w:w="6366" w:type="dxa"/>
          </w:tcPr>
          <w:p w14:paraId="050E1F12" w14:textId="2D9898EF" w:rsidR="00DD51FB" w:rsidRPr="00A547A0" w:rsidRDefault="7DCEF4FC" w:rsidP="7DCEF4FC">
            <w:pPr>
              <w:spacing w:before="120" w:after="120"/>
              <w:rPr>
                <w:rFonts w:eastAsia="Calibri" w:cs="Arial"/>
              </w:rPr>
            </w:pPr>
            <w:r w:rsidRPr="7DCEF4FC">
              <w:rPr>
                <w:rFonts w:eastAsia="Calibri" w:cs="Arial"/>
              </w:rPr>
              <w:t>“Local governments with few staff or small operating budgets should have fewer procurement rules to comply with.”</w:t>
            </w:r>
          </w:p>
        </w:tc>
        <w:tc>
          <w:tcPr>
            <w:tcW w:w="850" w:type="dxa"/>
          </w:tcPr>
          <w:p w14:paraId="09CA983C" w14:textId="77777777" w:rsidR="00DD51FB" w:rsidRPr="00A547A0" w:rsidRDefault="00DD51FB" w:rsidP="00A547A0">
            <w:pPr>
              <w:spacing w:before="120" w:after="120"/>
              <w:rPr>
                <w:rFonts w:eastAsia="Calibri" w:cs="Arial"/>
                <w:szCs w:val="24"/>
              </w:rPr>
            </w:pPr>
          </w:p>
        </w:tc>
        <w:tc>
          <w:tcPr>
            <w:tcW w:w="723" w:type="dxa"/>
          </w:tcPr>
          <w:p w14:paraId="3C3EED18" w14:textId="77777777" w:rsidR="00DD51FB" w:rsidRPr="00A547A0" w:rsidRDefault="00DD51FB" w:rsidP="00A547A0">
            <w:pPr>
              <w:spacing w:before="120" w:after="120"/>
              <w:rPr>
                <w:rFonts w:eastAsia="Calibri" w:cs="Arial"/>
                <w:szCs w:val="24"/>
              </w:rPr>
            </w:pPr>
          </w:p>
        </w:tc>
        <w:tc>
          <w:tcPr>
            <w:tcW w:w="851" w:type="dxa"/>
          </w:tcPr>
          <w:p w14:paraId="551A8D81" w14:textId="77777777" w:rsidR="00DD51FB" w:rsidRPr="00A547A0" w:rsidRDefault="00DD51FB" w:rsidP="00A547A0">
            <w:pPr>
              <w:spacing w:before="120" w:after="120"/>
              <w:rPr>
                <w:rFonts w:eastAsia="Calibri" w:cs="Arial"/>
                <w:szCs w:val="24"/>
              </w:rPr>
            </w:pPr>
          </w:p>
        </w:tc>
        <w:tc>
          <w:tcPr>
            <w:tcW w:w="850" w:type="dxa"/>
          </w:tcPr>
          <w:p w14:paraId="76B37B41" w14:textId="77777777" w:rsidR="00DD51FB" w:rsidRPr="00A547A0" w:rsidRDefault="00DD51FB" w:rsidP="00A547A0">
            <w:pPr>
              <w:spacing w:before="120" w:after="120"/>
              <w:rPr>
                <w:rFonts w:eastAsia="Calibri" w:cs="Arial"/>
                <w:szCs w:val="24"/>
              </w:rPr>
            </w:pPr>
          </w:p>
        </w:tc>
        <w:tc>
          <w:tcPr>
            <w:tcW w:w="851" w:type="dxa"/>
          </w:tcPr>
          <w:p w14:paraId="5E8C744F" w14:textId="77777777" w:rsidR="00DD51FB" w:rsidRPr="00A547A0" w:rsidRDefault="00DD51FB" w:rsidP="00A547A0">
            <w:pPr>
              <w:spacing w:before="120" w:after="120"/>
              <w:rPr>
                <w:rFonts w:eastAsia="Calibri" w:cs="Arial"/>
                <w:szCs w:val="24"/>
              </w:rPr>
            </w:pPr>
          </w:p>
        </w:tc>
      </w:tr>
      <w:bookmarkEnd w:id="22"/>
    </w:tbl>
    <w:p w14:paraId="01A179F1" w14:textId="6B8226C7" w:rsidR="00DD51FB" w:rsidRDefault="00DD51FB" w:rsidP="00DD51FB">
      <w:pPr>
        <w:ind w:left="360"/>
        <w:rPr>
          <w:rFonts w:ascii="Arial" w:hAnsi="Arial" w:cs="Arial"/>
        </w:rPr>
      </w:pPr>
    </w:p>
    <w:p w14:paraId="37B73CB0" w14:textId="654D7020" w:rsidR="00DD51FB" w:rsidRPr="00AD2E70" w:rsidRDefault="7DCEF4FC" w:rsidP="7DCEF4FC">
      <w:pPr>
        <w:pStyle w:val="ListParagraph"/>
        <w:numPr>
          <w:ilvl w:val="0"/>
          <w:numId w:val="34"/>
        </w:numPr>
        <w:rPr>
          <w:rFonts w:ascii="Arial" w:hAnsi="Arial" w:cs="Arial"/>
          <w:sz w:val="24"/>
          <w:szCs w:val="24"/>
        </w:rPr>
      </w:pPr>
      <w:r w:rsidRPr="7DCEF4FC">
        <w:rPr>
          <w:rFonts w:ascii="Arial" w:hAnsi="Arial" w:cs="Arial"/>
          <w:sz w:val="24"/>
          <w:szCs w:val="24"/>
        </w:rPr>
        <w:t>What criteria should be used to set the threshold for when a local government must publicly advertise a tender? (select all options that should apply)</w:t>
      </w:r>
    </w:p>
    <w:p w14:paraId="169AE07B" w14:textId="0BF11C52" w:rsidR="00BC5335" w:rsidRPr="00AD2E70" w:rsidRDefault="7DCEF4FC" w:rsidP="7DCEF4FC">
      <w:pPr>
        <w:pStyle w:val="ListParagraph"/>
        <w:numPr>
          <w:ilvl w:val="1"/>
          <w:numId w:val="34"/>
        </w:numPr>
        <w:rPr>
          <w:rFonts w:ascii="Arial" w:hAnsi="Arial" w:cs="Arial"/>
          <w:sz w:val="24"/>
          <w:szCs w:val="24"/>
        </w:rPr>
      </w:pPr>
      <w:r w:rsidRPr="7DCEF4FC">
        <w:rPr>
          <w:rFonts w:ascii="Arial" w:hAnsi="Arial" w:cs="Arial"/>
          <w:sz w:val="24"/>
          <w:szCs w:val="24"/>
        </w:rPr>
        <w:t>None. Procurement rules should be consistent across local government</w:t>
      </w:r>
    </w:p>
    <w:p w14:paraId="36447EC2" w14:textId="34DBC304" w:rsidR="00BC5335" w:rsidRPr="00AD2E70" w:rsidRDefault="7DCEF4FC" w:rsidP="7DCEF4FC">
      <w:pPr>
        <w:pStyle w:val="ListParagraph"/>
        <w:numPr>
          <w:ilvl w:val="1"/>
          <w:numId w:val="34"/>
        </w:numPr>
        <w:rPr>
          <w:rFonts w:ascii="Arial" w:hAnsi="Arial" w:cs="Arial"/>
          <w:sz w:val="24"/>
          <w:szCs w:val="24"/>
        </w:rPr>
      </w:pPr>
      <w:r w:rsidRPr="7DCEF4FC">
        <w:rPr>
          <w:rFonts w:ascii="Arial" w:hAnsi="Arial" w:cs="Arial"/>
          <w:sz w:val="24"/>
          <w:szCs w:val="24"/>
        </w:rPr>
        <w:t>A percentage of a local government’s average operating expenditure</w:t>
      </w:r>
    </w:p>
    <w:p w14:paraId="127F9441" w14:textId="6F3252A5" w:rsidR="00BC5335" w:rsidRPr="00AD2E70" w:rsidRDefault="7DCEF4FC" w:rsidP="7DCEF4FC">
      <w:pPr>
        <w:pStyle w:val="ListParagraph"/>
        <w:numPr>
          <w:ilvl w:val="1"/>
          <w:numId w:val="34"/>
        </w:numPr>
        <w:rPr>
          <w:rFonts w:ascii="Arial" w:hAnsi="Arial" w:cs="Arial"/>
          <w:sz w:val="24"/>
          <w:szCs w:val="24"/>
        </w:rPr>
      </w:pPr>
      <w:r w:rsidRPr="7DCEF4FC">
        <w:rPr>
          <w:rFonts w:ascii="Arial" w:hAnsi="Arial" w:cs="Arial"/>
          <w:sz w:val="24"/>
          <w:szCs w:val="24"/>
        </w:rPr>
        <w:t>Salaries and Allowances Tribunal bands</w:t>
      </w:r>
    </w:p>
    <w:p w14:paraId="789981E5" w14:textId="7C77A408" w:rsidR="00BC5335" w:rsidRPr="00AD2E70" w:rsidRDefault="7DCEF4FC" w:rsidP="7DCEF4FC">
      <w:pPr>
        <w:pStyle w:val="ListParagraph"/>
        <w:numPr>
          <w:ilvl w:val="1"/>
          <w:numId w:val="34"/>
        </w:numPr>
        <w:rPr>
          <w:rFonts w:ascii="Arial" w:hAnsi="Arial" w:cs="Arial"/>
          <w:sz w:val="24"/>
          <w:szCs w:val="24"/>
        </w:rPr>
      </w:pPr>
      <w:r w:rsidRPr="7DCEF4FC">
        <w:rPr>
          <w:rFonts w:ascii="Arial" w:hAnsi="Arial" w:cs="Arial"/>
          <w:sz w:val="24"/>
          <w:szCs w:val="24"/>
        </w:rPr>
        <w:t>An independent risk assessment</w:t>
      </w:r>
    </w:p>
    <w:p w14:paraId="14DCB3C8" w14:textId="33793AE0" w:rsidR="00BC5335" w:rsidRPr="00AD2E70" w:rsidRDefault="7DCEF4FC" w:rsidP="7DCEF4FC">
      <w:pPr>
        <w:pStyle w:val="ListParagraph"/>
        <w:numPr>
          <w:ilvl w:val="1"/>
          <w:numId w:val="34"/>
        </w:numPr>
        <w:rPr>
          <w:rFonts w:ascii="Arial" w:hAnsi="Arial" w:cs="Arial"/>
          <w:sz w:val="24"/>
          <w:szCs w:val="24"/>
        </w:rPr>
      </w:pPr>
      <w:r w:rsidRPr="7DCEF4FC">
        <w:rPr>
          <w:rFonts w:ascii="Arial" w:hAnsi="Arial" w:cs="Arial"/>
          <w:sz w:val="24"/>
          <w:szCs w:val="24"/>
        </w:rPr>
        <w:t>Other (please specify)</w:t>
      </w:r>
    </w:p>
    <w:p w14:paraId="00753BBC" w14:textId="79DC146D" w:rsidR="00B017C7" w:rsidRPr="00AD2E70" w:rsidRDefault="7DCEF4FC" w:rsidP="7DCEF4FC">
      <w:pPr>
        <w:pStyle w:val="ListParagraph"/>
        <w:numPr>
          <w:ilvl w:val="0"/>
          <w:numId w:val="34"/>
        </w:numPr>
        <w:rPr>
          <w:rFonts w:ascii="Arial" w:hAnsi="Arial" w:cs="Arial"/>
          <w:sz w:val="24"/>
          <w:szCs w:val="24"/>
        </w:rPr>
      </w:pPr>
      <w:r w:rsidRPr="7DCEF4FC">
        <w:rPr>
          <w:rFonts w:ascii="Arial" w:hAnsi="Arial" w:cs="Arial"/>
          <w:sz w:val="24"/>
          <w:szCs w:val="24"/>
        </w:rPr>
        <w:t>Should the regulations set a threshold that a CEO is permitted to spend without needing approval from council?</w:t>
      </w:r>
    </w:p>
    <w:p w14:paraId="1EFC5808" w14:textId="3EBFA933" w:rsidR="00B017C7" w:rsidRPr="00AD2E70" w:rsidRDefault="7DCEF4FC" w:rsidP="7DCEF4FC">
      <w:pPr>
        <w:pStyle w:val="ListParagraph"/>
        <w:numPr>
          <w:ilvl w:val="1"/>
          <w:numId w:val="34"/>
        </w:numPr>
        <w:rPr>
          <w:rFonts w:ascii="Arial" w:hAnsi="Arial" w:cs="Arial"/>
          <w:sz w:val="24"/>
          <w:szCs w:val="24"/>
        </w:rPr>
      </w:pPr>
      <w:r w:rsidRPr="7DCEF4FC">
        <w:rPr>
          <w:rFonts w:ascii="Arial" w:hAnsi="Arial" w:cs="Arial"/>
          <w:sz w:val="24"/>
          <w:szCs w:val="24"/>
        </w:rPr>
        <w:t>Yes</w:t>
      </w:r>
    </w:p>
    <w:p w14:paraId="59CAD91A" w14:textId="5207CCDD" w:rsidR="00B017C7" w:rsidRPr="00AD2E70" w:rsidRDefault="7DCEF4FC" w:rsidP="7DCEF4FC">
      <w:pPr>
        <w:pStyle w:val="ListParagraph"/>
        <w:numPr>
          <w:ilvl w:val="1"/>
          <w:numId w:val="34"/>
        </w:numPr>
        <w:rPr>
          <w:rFonts w:ascii="Arial" w:hAnsi="Arial" w:cs="Arial"/>
          <w:sz w:val="24"/>
          <w:szCs w:val="24"/>
        </w:rPr>
      </w:pPr>
      <w:r w:rsidRPr="7DCEF4FC">
        <w:rPr>
          <w:rFonts w:ascii="Arial" w:hAnsi="Arial" w:cs="Arial"/>
          <w:sz w:val="24"/>
          <w:szCs w:val="24"/>
        </w:rPr>
        <w:t xml:space="preserve">No </w:t>
      </w:r>
    </w:p>
    <w:p w14:paraId="104B2237" w14:textId="529CBA7F" w:rsidR="00B017C7" w:rsidRPr="00AD2E70" w:rsidRDefault="7DCEF4FC" w:rsidP="7DCEF4FC">
      <w:pPr>
        <w:pStyle w:val="ListParagraph"/>
        <w:numPr>
          <w:ilvl w:val="1"/>
          <w:numId w:val="34"/>
        </w:numPr>
        <w:rPr>
          <w:rFonts w:ascii="Arial" w:hAnsi="Arial" w:cs="Arial"/>
          <w:sz w:val="24"/>
          <w:szCs w:val="24"/>
        </w:rPr>
      </w:pPr>
      <w:r w:rsidRPr="7DCEF4FC">
        <w:rPr>
          <w:rFonts w:ascii="Arial" w:hAnsi="Arial" w:cs="Arial"/>
          <w:sz w:val="24"/>
          <w:szCs w:val="24"/>
        </w:rPr>
        <w:t>Unsure</w:t>
      </w:r>
    </w:p>
    <w:p w14:paraId="5BD6D7CC" w14:textId="24CCDB12" w:rsidR="00B017C7" w:rsidRPr="00AD2E70" w:rsidRDefault="7DCEF4FC" w:rsidP="7DCEF4FC">
      <w:pPr>
        <w:pStyle w:val="ListParagraph"/>
        <w:numPr>
          <w:ilvl w:val="0"/>
          <w:numId w:val="34"/>
        </w:numPr>
        <w:rPr>
          <w:rFonts w:ascii="Arial" w:hAnsi="Arial" w:cs="Arial"/>
          <w:sz w:val="24"/>
          <w:szCs w:val="24"/>
        </w:rPr>
      </w:pPr>
      <w:r w:rsidRPr="7DCEF4FC">
        <w:rPr>
          <w:rFonts w:ascii="Arial" w:hAnsi="Arial" w:cs="Arial"/>
          <w:sz w:val="24"/>
          <w:szCs w:val="24"/>
        </w:rPr>
        <w:t>Should the amount that a CEO is permitted to spend without needing additional approval from Council be scaled according to the local government’s size or capacity?</w:t>
      </w:r>
    </w:p>
    <w:p w14:paraId="11B51AB1" w14:textId="01E24FB6" w:rsidR="00B017C7" w:rsidRPr="00AD2E70" w:rsidRDefault="7DCEF4FC" w:rsidP="7DCEF4FC">
      <w:pPr>
        <w:pStyle w:val="ListParagraph"/>
        <w:numPr>
          <w:ilvl w:val="1"/>
          <w:numId w:val="34"/>
        </w:numPr>
        <w:rPr>
          <w:rFonts w:ascii="Arial" w:hAnsi="Arial" w:cs="Arial"/>
          <w:sz w:val="24"/>
          <w:szCs w:val="24"/>
        </w:rPr>
      </w:pPr>
      <w:r w:rsidRPr="7DCEF4FC">
        <w:rPr>
          <w:rFonts w:ascii="Arial" w:hAnsi="Arial" w:cs="Arial"/>
          <w:sz w:val="24"/>
          <w:szCs w:val="24"/>
        </w:rPr>
        <w:t>Yes</w:t>
      </w:r>
    </w:p>
    <w:p w14:paraId="6218BC07" w14:textId="7F735804" w:rsidR="00B017C7" w:rsidRPr="00AD2E70" w:rsidRDefault="7DCEF4FC" w:rsidP="7DCEF4FC">
      <w:pPr>
        <w:pStyle w:val="ListParagraph"/>
        <w:numPr>
          <w:ilvl w:val="1"/>
          <w:numId w:val="34"/>
        </w:numPr>
        <w:rPr>
          <w:rFonts w:ascii="Arial" w:hAnsi="Arial" w:cs="Arial"/>
          <w:sz w:val="24"/>
          <w:szCs w:val="24"/>
        </w:rPr>
      </w:pPr>
      <w:r w:rsidRPr="7DCEF4FC">
        <w:rPr>
          <w:rFonts w:ascii="Arial" w:hAnsi="Arial" w:cs="Arial"/>
          <w:sz w:val="24"/>
          <w:szCs w:val="24"/>
        </w:rPr>
        <w:t>No</w:t>
      </w:r>
    </w:p>
    <w:p w14:paraId="070484B2" w14:textId="34864037" w:rsidR="00B017C7" w:rsidRPr="00AD2E70" w:rsidRDefault="7DCEF4FC" w:rsidP="7DCEF4FC">
      <w:pPr>
        <w:pStyle w:val="ListParagraph"/>
        <w:numPr>
          <w:ilvl w:val="1"/>
          <w:numId w:val="34"/>
        </w:numPr>
        <w:rPr>
          <w:rFonts w:ascii="Arial" w:hAnsi="Arial" w:cs="Arial"/>
          <w:sz w:val="24"/>
          <w:szCs w:val="24"/>
        </w:rPr>
      </w:pPr>
      <w:r w:rsidRPr="7DCEF4FC">
        <w:rPr>
          <w:rFonts w:ascii="Arial" w:hAnsi="Arial" w:cs="Arial"/>
          <w:sz w:val="24"/>
          <w:szCs w:val="24"/>
        </w:rPr>
        <w:t>Unsure</w:t>
      </w:r>
    </w:p>
    <w:p w14:paraId="355D3A89" w14:textId="77777777" w:rsidR="00B81289" w:rsidRDefault="00B81289">
      <w:pPr>
        <w:rPr>
          <w:rFonts w:ascii="Arial" w:hAnsi="Arial" w:cs="Arial"/>
          <w:sz w:val="24"/>
        </w:rPr>
      </w:pPr>
      <w:r>
        <w:rPr>
          <w:rFonts w:ascii="Arial" w:hAnsi="Arial" w:cs="Arial"/>
          <w:sz w:val="24"/>
        </w:rPr>
        <w:br w:type="page"/>
      </w:r>
    </w:p>
    <w:p w14:paraId="1D5A5C78" w14:textId="7A449D8E" w:rsidR="00B017C7" w:rsidRPr="00AD2E70" w:rsidRDefault="7DCEF4FC" w:rsidP="7DCEF4FC">
      <w:pPr>
        <w:pStyle w:val="ListParagraph"/>
        <w:numPr>
          <w:ilvl w:val="0"/>
          <w:numId w:val="34"/>
        </w:numPr>
        <w:rPr>
          <w:rFonts w:ascii="Arial" w:hAnsi="Arial" w:cs="Arial"/>
          <w:sz w:val="24"/>
          <w:szCs w:val="24"/>
        </w:rPr>
      </w:pPr>
      <w:r w:rsidRPr="7DCEF4FC">
        <w:rPr>
          <w:rFonts w:ascii="Arial" w:hAnsi="Arial" w:cs="Arial"/>
          <w:sz w:val="24"/>
          <w:szCs w:val="24"/>
        </w:rPr>
        <w:lastRenderedPageBreak/>
        <w:t>To what extent do you support the following statements?</w:t>
      </w:r>
    </w:p>
    <w:tbl>
      <w:tblPr>
        <w:tblStyle w:val="DLGCTable-Form2"/>
        <w:tblW w:w="10491" w:type="dxa"/>
        <w:tblInd w:w="-431" w:type="dxa"/>
        <w:tblLook w:val="04A0" w:firstRow="1" w:lastRow="0" w:firstColumn="1" w:lastColumn="0" w:noHBand="0" w:noVBand="1"/>
      </w:tblPr>
      <w:tblGrid>
        <w:gridCol w:w="6344"/>
        <w:gridCol w:w="849"/>
        <w:gridCol w:w="746"/>
        <w:gridCol w:w="851"/>
        <w:gridCol w:w="850"/>
        <w:gridCol w:w="851"/>
      </w:tblGrid>
      <w:tr w:rsidR="00B017C7" w:rsidRPr="0011698A" w14:paraId="49A195C3" w14:textId="77777777" w:rsidTr="7DCEF4FC">
        <w:trPr>
          <w:cnfStyle w:val="100000000000" w:firstRow="1" w:lastRow="0" w:firstColumn="0" w:lastColumn="0" w:oddVBand="0" w:evenVBand="0" w:oddHBand="0" w:evenHBand="0" w:firstRowFirstColumn="0" w:firstRowLastColumn="0" w:lastRowFirstColumn="0" w:lastRowLastColumn="0"/>
          <w:cantSplit/>
          <w:trHeight w:val="2364"/>
        </w:trPr>
        <w:tc>
          <w:tcPr>
            <w:tcW w:w="6366" w:type="dxa"/>
          </w:tcPr>
          <w:p w14:paraId="600E0ABD" w14:textId="77777777" w:rsidR="00B017C7" w:rsidRPr="0011698A" w:rsidRDefault="00B017C7" w:rsidP="0011698A">
            <w:pPr>
              <w:spacing w:before="120" w:after="120"/>
              <w:rPr>
                <w:rFonts w:eastAsia="Calibri" w:cs="Arial"/>
                <w:b w:val="0"/>
                <w:szCs w:val="24"/>
              </w:rPr>
            </w:pPr>
          </w:p>
        </w:tc>
        <w:tc>
          <w:tcPr>
            <w:tcW w:w="850" w:type="dxa"/>
            <w:textDirection w:val="btLr"/>
          </w:tcPr>
          <w:p w14:paraId="15BED180" w14:textId="77777777" w:rsidR="00B017C7" w:rsidRPr="0011698A" w:rsidRDefault="7DCEF4FC" w:rsidP="7DCEF4FC">
            <w:pPr>
              <w:spacing w:before="120" w:after="120"/>
              <w:rPr>
                <w:rFonts w:eastAsia="Calibri" w:cs="Arial"/>
                <w:b w:val="0"/>
              </w:rPr>
            </w:pPr>
            <w:r w:rsidRPr="7DCEF4FC">
              <w:rPr>
                <w:rFonts w:eastAsia="Calibri" w:cs="Arial"/>
                <w:b w:val="0"/>
              </w:rPr>
              <w:t>Very unsupportive</w:t>
            </w:r>
          </w:p>
        </w:tc>
        <w:tc>
          <w:tcPr>
            <w:tcW w:w="723" w:type="dxa"/>
            <w:textDirection w:val="btLr"/>
          </w:tcPr>
          <w:p w14:paraId="5477D0FF" w14:textId="77777777" w:rsidR="00B017C7" w:rsidRPr="0011698A" w:rsidRDefault="7DCEF4FC" w:rsidP="7DCEF4FC">
            <w:pPr>
              <w:spacing w:before="120" w:after="120"/>
              <w:rPr>
                <w:rFonts w:eastAsia="Calibri" w:cs="Arial"/>
                <w:b w:val="0"/>
              </w:rPr>
            </w:pPr>
            <w:r w:rsidRPr="7DCEF4FC">
              <w:rPr>
                <w:rFonts w:eastAsia="Calibri" w:cs="Arial"/>
                <w:b w:val="0"/>
              </w:rPr>
              <w:t>Unsupportive</w:t>
            </w:r>
          </w:p>
        </w:tc>
        <w:tc>
          <w:tcPr>
            <w:tcW w:w="851" w:type="dxa"/>
            <w:textDirection w:val="btLr"/>
          </w:tcPr>
          <w:p w14:paraId="1399BB01" w14:textId="77777777" w:rsidR="00B017C7" w:rsidRPr="0011698A" w:rsidRDefault="7DCEF4FC" w:rsidP="7DCEF4FC">
            <w:pPr>
              <w:spacing w:before="120" w:after="120"/>
              <w:rPr>
                <w:rFonts w:eastAsia="Calibri" w:cs="Arial"/>
                <w:b w:val="0"/>
              </w:rPr>
            </w:pPr>
            <w:r w:rsidRPr="7DCEF4FC">
              <w:rPr>
                <w:rFonts w:eastAsia="Calibri" w:cs="Arial"/>
                <w:b w:val="0"/>
              </w:rPr>
              <w:t>Neutral</w:t>
            </w:r>
          </w:p>
        </w:tc>
        <w:tc>
          <w:tcPr>
            <w:tcW w:w="850" w:type="dxa"/>
            <w:textDirection w:val="btLr"/>
          </w:tcPr>
          <w:p w14:paraId="0BA7CC37" w14:textId="77777777" w:rsidR="00B017C7" w:rsidRPr="0011698A" w:rsidRDefault="7DCEF4FC" w:rsidP="7DCEF4FC">
            <w:pPr>
              <w:spacing w:before="120" w:after="120"/>
              <w:rPr>
                <w:rFonts w:eastAsia="Calibri" w:cs="Arial"/>
                <w:b w:val="0"/>
              </w:rPr>
            </w:pPr>
            <w:r w:rsidRPr="7DCEF4FC">
              <w:rPr>
                <w:rFonts w:eastAsia="Calibri" w:cs="Arial"/>
                <w:b w:val="0"/>
              </w:rPr>
              <w:t>Supportive</w:t>
            </w:r>
          </w:p>
        </w:tc>
        <w:tc>
          <w:tcPr>
            <w:tcW w:w="851" w:type="dxa"/>
            <w:textDirection w:val="btLr"/>
          </w:tcPr>
          <w:p w14:paraId="3F520BF5" w14:textId="3446A3A0" w:rsidR="00B017C7" w:rsidRPr="0011698A" w:rsidRDefault="7DCEF4FC" w:rsidP="7DCEF4FC">
            <w:pPr>
              <w:spacing w:before="120" w:after="120"/>
              <w:rPr>
                <w:rFonts w:eastAsia="Calibri" w:cs="Arial"/>
                <w:b w:val="0"/>
              </w:rPr>
            </w:pPr>
            <w:r w:rsidRPr="7DCEF4FC">
              <w:rPr>
                <w:rFonts w:eastAsia="Calibri" w:cs="Arial"/>
                <w:b w:val="0"/>
              </w:rPr>
              <w:t>Very supportive</w:t>
            </w:r>
          </w:p>
        </w:tc>
      </w:tr>
      <w:tr w:rsidR="00B017C7" w:rsidRPr="0011698A" w14:paraId="70BD0EFE" w14:textId="77777777" w:rsidTr="7DCEF4FC">
        <w:tc>
          <w:tcPr>
            <w:tcW w:w="6366" w:type="dxa"/>
          </w:tcPr>
          <w:p w14:paraId="56FB38EC" w14:textId="1F46420D" w:rsidR="00B017C7" w:rsidRPr="0011698A" w:rsidRDefault="7DCEF4FC" w:rsidP="7DCEF4FC">
            <w:pPr>
              <w:spacing w:before="120" w:after="120"/>
              <w:rPr>
                <w:rFonts w:eastAsia="Calibri" w:cs="Arial"/>
              </w:rPr>
            </w:pPr>
            <w:r w:rsidRPr="7DCEF4FC">
              <w:rPr>
                <w:rFonts w:eastAsia="Calibri" w:cs="Arial"/>
              </w:rPr>
              <w:t>“Local governments should be permitted to invest surplus revenue.”</w:t>
            </w:r>
          </w:p>
        </w:tc>
        <w:tc>
          <w:tcPr>
            <w:tcW w:w="850" w:type="dxa"/>
          </w:tcPr>
          <w:p w14:paraId="7EC3A2D4" w14:textId="77777777" w:rsidR="00B017C7" w:rsidRPr="0011698A" w:rsidRDefault="00B017C7" w:rsidP="0011698A">
            <w:pPr>
              <w:spacing w:before="120" w:after="120"/>
              <w:rPr>
                <w:rFonts w:eastAsia="Calibri" w:cs="Arial"/>
                <w:szCs w:val="24"/>
              </w:rPr>
            </w:pPr>
          </w:p>
        </w:tc>
        <w:tc>
          <w:tcPr>
            <w:tcW w:w="723" w:type="dxa"/>
          </w:tcPr>
          <w:p w14:paraId="324A8AD7" w14:textId="77777777" w:rsidR="00B017C7" w:rsidRPr="0011698A" w:rsidRDefault="00B017C7" w:rsidP="0011698A">
            <w:pPr>
              <w:spacing w:before="120" w:after="120"/>
              <w:rPr>
                <w:rFonts w:eastAsia="Calibri" w:cs="Arial"/>
                <w:szCs w:val="24"/>
              </w:rPr>
            </w:pPr>
          </w:p>
        </w:tc>
        <w:tc>
          <w:tcPr>
            <w:tcW w:w="851" w:type="dxa"/>
          </w:tcPr>
          <w:p w14:paraId="70BD1C44" w14:textId="77777777" w:rsidR="00B017C7" w:rsidRPr="0011698A" w:rsidRDefault="00B017C7" w:rsidP="0011698A">
            <w:pPr>
              <w:spacing w:before="120" w:after="120"/>
              <w:rPr>
                <w:rFonts w:eastAsia="Calibri" w:cs="Arial"/>
                <w:szCs w:val="24"/>
              </w:rPr>
            </w:pPr>
          </w:p>
        </w:tc>
        <w:tc>
          <w:tcPr>
            <w:tcW w:w="850" w:type="dxa"/>
          </w:tcPr>
          <w:p w14:paraId="21F24574" w14:textId="77777777" w:rsidR="00B017C7" w:rsidRPr="0011698A" w:rsidRDefault="00B017C7" w:rsidP="0011698A">
            <w:pPr>
              <w:spacing w:before="120" w:after="120"/>
              <w:rPr>
                <w:rFonts w:eastAsia="Calibri" w:cs="Arial"/>
                <w:szCs w:val="24"/>
              </w:rPr>
            </w:pPr>
          </w:p>
        </w:tc>
        <w:tc>
          <w:tcPr>
            <w:tcW w:w="851" w:type="dxa"/>
          </w:tcPr>
          <w:p w14:paraId="665F4A94" w14:textId="77777777" w:rsidR="00B017C7" w:rsidRPr="0011698A" w:rsidRDefault="00B017C7" w:rsidP="0011698A">
            <w:pPr>
              <w:spacing w:before="120" w:after="120"/>
              <w:rPr>
                <w:rFonts w:eastAsia="Calibri" w:cs="Arial"/>
                <w:szCs w:val="24"/>
              </w:rPr>
            </w:pPr>
          </w:p>
        </w:tc>
      </w:tr>
      <w:tr w:rsidR="00B017C7" w:rsidRPr="0011698A" w14:paraId="1DFA7FA8" w14:textId="77777777" w:rsidTr="7DCEF4FC">
        <w:tc>
          <w:tcPr>
            <w:tcW w:w="6366" w:type="dxa"/>
          </w:tcPr>
          <w:p w14:paraId="1FF51073" w14:textId="393C5D89" w:rsidR="00B017C7" w:rsidRPr="0011698A" w:rsidRDefault="7DCEF4FC" w:rsidP="7DCEF4FC">
            <w:pPr>
              <w:spacing w:before="120" w:after="120"/>
              <w:rPr>
                <w:rFonts w:eastAsia="Calibri" w:cs="Arial"/>
              </w:rPr>
            </w:pPr>
            <w:r w:rsidRPr="7DCEF4FC">
              <w:rPr>
                <w:rFonts w:eastAsia="Calibri" w:cs="Arial"/>
              </w:rPr>
              <w:t>“Local government should have fewer restrictions on their ability to invest surplus revenue.”</w:t>
            </w:r>
          </w:p>
        </w:tc>
        <w:tc>
          <w:tcPr>
            <w:tcW w:w="850" w:type="dxa"/>
          </w:tcPr>
          <w:p w14:paraId="1784CE17" w14:textId="77777777" w:rsidR="00B017C7" w:rsidRPr="0011698A" w:rsidRDefault="00B017C7" w:rsidP="0011698A">
            <w:pPr>
              <w:spacing w:before="120" w:after="120"/>
              <w:rPr>
                <w:rFonts w:eastAsia="Calibri" w:cs="Arial"/>
                <w:szCs w:val="24"/>
              </w:rPr>
            </w:pPr>
          </w:p>
        </w:tc>
        <w:tc>
          <w:tcPr>
            <w:tcW w:w="723" w:type="dxa"/>
          </w:tcPr>
          <w:p w14:paraId="5CE318AD" w14:textId="77777777" w:rsidR="00B017C7" w:rsidRPr="0011698A" w:rsidRDefault="00B017C7" w:rsidP="0011698A">
            <w:pPr>
              <w:spacing w:before="120" w:after="120"/>
              <w:rPr>
                <w:rFonts w:eastAsia="Calibri" w:cs="Arial"/>
                <w:szCs w:val="24"/>
              </w:rPr>
            </w:pPr>
          </w:p>
        </w:tc>
        <w:tc>
          <w:tcPr>
            <w:tcW w:w="851" w:type="dxa"/>
          </w:tcPr>
          <w:p w14:paraId="0F369A43" w14:textId="77777777" w:rsidR="00B017C7" w:rsidRPr="0011698A" w:rsidRDefault="00B017C7" w:rsidP="0011698A">
            <w:pPr>
              <w:spacing w:before="120" w:after="120"/>
              <w:rPr>
                <w:rFonts w:eastAsia="Calibri" w:cs="Arial"/>
                <w:szCs w:val="24"/>
              </w:rPr>
            </w:pPr>
          </w:p>
        </w:tc>
        <w:tc>
          <w:tcPr>
            <w:tcW w:w="850" w:type="dxa"/>
          </w:tcPr>
          <w:p w14:paraId="3CC8C805" w14:textId="77777777" w:rsidR="00B017C7" w:rsidRPr="0011698A" w:rsidRDefault="00B017C7" w:rsidP="0011698A">
            <w:pPr>
              <w:spacing w:before="120" w:after="120"/>
              <w:rPr>
                <w:rFonts w:eastAsia="Calibri" w:cs="Arial"/>
                <w:szCs w:val="24"/>
              </w:rPr>
            </w:pPr>
          </w:p>
        </w:tc>
        <w:tc>
          <w:tcPr>
            <w:tcW w:w="851" w:type="dxa"/>
          </w:tcPr>
          <w:p w14:paraId="7DAE2CD2" w14:textId="77777777" w:rsidR="00B017C7" w:rsidRPr="0011698A" w:rsidRDefault="00B017C7" w:rsidP="0011698A">
            <w:pPr>
              <w:spacing w:before="120" w:after="120"/>
              <w:rPr>
                <w:rFonts w:eastAsia="Calibri" w:cs="Arial"/>
                <w:szCs w:val="24"/>
              </w:rPr>
            </w:pPr>
          </w:p>
        </w:tc>
      </w:tr>
      <w:tr w:rsidR="00B017C7" w:rsidRPr="0011698A" w14:paraId="368E4349" w14:textId="77777777" w:rsidTr="7DCEF4FC">
        <w:tc>
          <w:tcPr>
            <w:tcW w:w="6366" w:type="dxa"/>
          </w:tcPr>
          <w:p w14:paraId="2E00242D" w14:textId="7014F7CC" w:rsidR="00B017C7" w:rsidRPr="0011698A" w:rsidRDefault="7DCEF4FC" w:rsidP="7DCEF4FC">
            <w:pPr>
              <w:spacing w:before="120" w:after="120"/>
              <w:rPr>
                <w:rFonts w:eastAsia="Calibri" w:cs="Arial"/>
              </w:rPr>
            </w:pPr>
            <w:r w:rsidRPr="7DCEF4FC">
              <w:rPr>
                <w:rFonts w:eastAsia="Calibri" w:cs="Arial"/>
              </w:rPr>
              <w:t>“Different local governments should have different investment powers and rules.”</w:t>
            </w:r>
          </w:p>
        </w:tc>
        <w:tc>
          <w:tcPr>
            <w:tcW w:w="850" w:type="dxa"/>
          </w:tcPr>
          <w:p w14:paraId="5678AB83" w14:textId="77777777" w:rsidR="00B017C7" w:rsidRPr="0011698A" w:rsidRDefault="00B017C7" w:rsidP="0011698A">
            <w:pPr>
              <w:spacing w:before="120" w:after="120"/>
              <w:rPr>
                <w:rFonts w:eastAsia="Calibri" w:cs="Arial"/>
                <w:szCs w:val="24"/>
              </w:rPr>
            </w:pPr>
          </w:p>
        </w:tc>
        <w:tc>
          <w:tcPr>
            <w:tcW w:w="723" w:type="dxa"/>
          </w:tcPr>
          <w:p w14:paraId="6E58A045" w14:textId="77777777" w:rsidR="00B017C7" w:rsidRPr="0011698A" w:rsidRDefault="00B017C7" w:rsidP="0011698A">
            <w:pPr>
              <w:spacing w:before="120" w:after="120"/>
              <w:rPr>
                <w:rFonts w:eastAsia="Calibri" w:cs="Arial"/>
                <w:szCs w:val="24"/>
              </w:rPr>
            </w:pPr>
          </w:p>
        </w:tc>
        <w:tc>
          <w:tcPr>
            <w:tcW w:w="851" w:type="dxa"/>
          </w:tcPr>
          <w:p w14:paraId="5909758B" w14:textId="77777777" w:rsidR="00B017C7" w:rsidRPr="0011698A" w:rsidRDefault="00B017C7" w:rsidP="0011698A">
            <w:pPr>
              <w:spacing w:before="120" w:after="120"/>
              <w:rPr>
                <w:rFonts w:eastAsia="Calibri" w:cs="Arial"/>
                <w:szCs w:val="24"/>
              </w:rPr>
            </w:pPr>
          </w:p>
        </w:tc>
        <w:tc>
          <w:tcPr>
            <w:tcW w:w="850" w:type="dxa"/>
          </w:tcPr>
          <w:p w14:paraId="5AEF46B6" w14:textId="77777777" w:rsidR="00B017C7" w:rsidRPr="0011698A" w:rsidRDefault="00B017C7" w:rsidP="0011698A">
            <w:pPr>
              <w:spacing w:before="120" w:after="120"/>
              <w:rPr>
                <w:rFonts w:eastAsia="Calibri" w:cs="Arial"/>
                <w:szCs w:val="24"/>
              </w:rPr>
            </w:pPr>
          </w:p>
        </w:tc>
        <w:tc>
          <w:tcPr>
            <w:tcW w:w="851" w:type="dxa"/>
          </w:tcPr>
          <w:p w14:paraId="28789F91" w14:textId="77777777" w:rsidR="00B017C7" w:rsidRPr="0011698A" w:rsidRDefault="00B017C7" w:rsidP="0011698A">
            <w:pPr>
              <w:spacing w:before="120" w:after="120"/>
              <w:rPr>
                <w:rFonts w:eastAsia="Calibri" w:cs="Arial"/>
                <w:szCs w:val="24"/>
              </w:rPr>
            </w:pPr>
          </w:p>
        </w:tc>
      </w:tr>
      <w:tr w:rsidR="00B017C7" w:rsidRPr="0011698A" w14:paraId="6A5D1FE2" w14:textId="77777777" w:rsidTr="7DCEF4FC">
        <w:tc>
          <w:tcPr>
            <w:tcW w:w="6366" w:type="dxa"/>
          </w:tcPr>
          <w:p w14:paraId="0AB8178C" w14:textId="5C494D4E" w:rsidR="00B017C7" w:rsidRPr="0011698A" w:rsidRDefault="7DCEF4FC" w:rsidP="7DCEF4FC">
            <w:pPr>
              <w:spacing w:before="120" w:after="120"/>
              <w:rPr>
                <w:rFonts w:eastAsia="Calibri" w:cs="Arial"/>
              </w:rPr>
            </w:pPr>
            <w:r w:rsidRPr="7DCEF4FC">
              <w:rPr>
                <w:rFonts w:eastAsia="Calibri" w:cs="Arial"/>
              </w:rPr>
              <w:t>“Certain types of investments should require independent approval.”</w:t>
            </w:r>
          </w:p>
        </w:tc>
        <w:tc>
          <w:tcPr>
            <w:tcW w:w="850" w:type="dxa"/>
          </w:tcPr>
          <w:p w14:paraId="536C0909" w14:textId="77777777" w:rsidR="00B017C7" w:rsidRPr="0011698A" w:rsidRDefault="00B017C7" w:rsidP="0011698A">
            <w:pPr>
              <w:spacing w:before="120" w:after="120"/>
              <w:rPr>
                <w:rFonts w:eastAsia="Calibri" w:cs="Arial"/>
                <w:szCs w:val="24"/>
              </w:rPr>
            </w:pPr>
          </w:p>
        </w:tc>
        <w:tc>
          <w:tcPr>
            <w:tcW w:w="723" w:type="dxa"/>
          </w:tcPr>
          <w:p w14:paraId="72A37A6E" w14:textId="77777777" w:rsidR="00B017C7" w:rsidRPr="0011698A" w:rsidRDefault="00B017C7" w:rsidP="0011698A">
            <w:pPr>
              <w:spacing w:before="120" w:after="120"/>
              <w:rPr>
                <w:rFonts w:eastAsia="Calibri" w:cs="Arial"/>
                <w:szCs w:val="24"/>
              </w:rPr>
            </w:pPr>
          </w:p>
        </w:tc>
        <w:tc>
          <w:tcPr>
            <w:tcW w:w="851" w:type="dxa"/>
          </w:tcPr>
          <w:p w14:paraId="049CB7D7" w14:textId="77777777" w:rsidR="00B017C7" w:rsidRPr="0011698A" w:rsidRDefault="00B017C7" w:rsidP="0011698A">
            <w:pPr>
              <w:spacing w:before="120" w:after="120"/>
              <w:rPr>
                <w:rFonts w:eastAsia="Calibri" w:cs="Arial"/>
                <w:szCs w:val="24"/>
              </w:rPr>
            </w:pPr>
          </w:p>
        </w:tc>
        <w:tc>
          <w:tcPr>
            <w:tcW w:w="850" w:type="dxa"/>
          </w:tcPr>
          <w:p w14:paraId="0B45598C" w14:textId="77777777" w:rsidR="00B017C7" w:rsidRPr="0011698A" w:rsidRDefault="00B017C7" w:rsidP="0011698A">
            <w:pPr>
              <w:spacing w:before="120" w:after="120"/>
              <w:rPr>
                <w:rFonts w:eastAsia="Calibri" w:cs="Arial"/>
                <w:szCs w:val="24"/>
              </w:rPr>
            </w:pPr>
          </w:p>
        </w:tc>
        <w:tc>
          <w:tcPr>
            <w:tcW w:w="851" w:type="dxa"/>
          </w:tcPr>
          <w:p w14:paraId="7E890A4D" w14:textId="77777777" w:rsidR="00B017C7" w:rsidRPr="0011698A" w:rsidRDefault="00B017C7" w:rsidP="0011698A">
            <w:pPr>
              <w:spacing w:before="120" w:after="120"/>
              <w:rPr>
                <w:rFonts w:eastAsia="Calibri" w:cs="Arial"/>
                <w:szCs w:val="24"/>
              </w:rPr>
            </w:pPr>
          </w:p>
        </w:tc>
      </w:tr>
    </w:tbl>
    <w:p w14:paraId="77D54CBF" w14:textId="77777777" w:rsidR="00AD2E70" w:rsidRPr="00AD2E70" w:rsidRDefault="00AD2E70" w:rsidP="00AD2E70">
      <w:pPr>
        <w:pStyle w:val="ListParagraph"/>
        <w:rPr>
          <w:rFonts w:ascii="Arial" w:hAnsi="Arial" w:cs="Arial"/>
          <w:sz w:val="24"/>
        </w:rPr>
      </w:pPr>
    </w:p>
    <w:p w14:paraId="3C8F0CCF" w14:textId="6E5EF624" w:rsidR="00B017C7" w:rsidRPr="00AD2E70" w:rsidRDefault="7DCEF4FC" w:rsidP="7DCEF4FC">
      <w:pPr>
        <w:pStyle w:val="ListParagraph"/>
        <w:numPr>
          <w:ilvl w:val="0"/>
          <w:numId w:val="34"/>
        </w:numPr>
        <w:rPr>
          <w:rFonts w:ascii="Arial" w:hAnsi="Arial" w:cs="Arial"/>
          <w:sz w:val="24"/>
          <w:szCs w:val="24"/>
        </w:rPr>
      </w:pPr>
      <w:r w:rsidRPr="7DCEF4FC">
        <w:rPr>
          <w:rFonts w:ascii="Arial" w:hAnsi="Arial" w:cs="Arial"/>
          <w:sz w:val="24"/>
          <w:szCs w:val="24"/>
        </w:rPr>
        <w:t>Should local governments be required to give public notice in any of the following situations? (please select all options that should apply)</w:t>
      </w:r>
    </w:p>
    <w:p w14:paraId="30F10ADC" w14:textId="4E53CFC2" w:rsidR="00F42BE2" w:rsidRPr="00AD2E70" w:rsidRDefault="7DCEF4FC" w:rsidP="7DCEF4FC">
      <w:pPr>
        <w:pStyle w:val="ListParagraph"/>
        <w:numPr>
          <w:ilvl w:val="1"/>
          <w:numId w:val="34"/>
        </w:numPr>
        <w:rPr>
          <w:rFonts w:ascii="Arial" w:hAnsi="Arial" w:cs="Arial"/>
          <w:sz w:val="24"/>
          <w:szCs w:val="24"/>
        </w:rPr>
      </w:pPr>
      <w:r w:rsidRPr="7DCEF4FC">
        <w:rPr>
          <w:rFonts w:ascii="Arial" w:hAnsi="Arial" w:cs="Arial"/>
          <w:sz w:val="24"/>
          <w:szCs w:val="24"/>
        </w:rPr>
        <w:t>Where a local government wishes to borrow money outside amounts listed in the annual budget</w:t>
      </w:r>
    </w:p>
    <w:p w14:paraId="7AC7211E" w14:textId="1A6E95DC" w:rsidR="00F42BE2" w:rsidRPr="00AD2E70" w:rsidRDefault="7DCEF4FC" w:rsidP="7DCEF4FC">
      <w:pPr>
        <w:pStyle w:val="ListParagraph"/>
        <w:numPr>
          <w:ilvl w:val="1"/>
          <w:numId w:val="34"/>
        </w:numPr>
        <w:rPr>
          <w:rFonts w:ascii="Arial" w:hAnsi="Arial" w:cs="Arial"/>
          <w:sz w:val="24"/>
          <w:szCs w:val="24"/>
        </w:rPr>
      </w:pPr>
      <w:r w:rsidRPr="7DCEF4FC">
        <w:rPr>
          <w:rFonts w:ascii="Arial" w:hAnsi="Arial" w:cs="Arial"/>
          <w:sz w:val="24"/>
          <w:szCs w:val="24"/>
        </w:rPr>
        <w:t>Where a local government has exercised its power to borrow for a purpose but no longer wishes to use the funds for that purpose</w:t>
      </w:r>
    </w:p>
    <w:p w14:paraId="51522C80" w14:textId="6E491D38" w:rsidR="00F42BE2" w:rsidRDefault="7DCEF4FC" w:rsidP="7DCEF4FC">
      <w:pPr>
        <w:pStyle w:val="ListParagraph"/>
        <w:numPr>
          <w:ilvl w:val="1"/>
          <w:numId w:val="34"/>
        </w:numPr>
        <w:rPr>
          <w:rFonts w:ascii="Arial" w:hAnsi="Arial" w:cs="Arial"/>
          <w:sz w:val="24"/>
          <w:szCs w:val="24"/>
        </w:rPr>
      </w:pPr>
      <w:r w:rsidRPr="7DCEF4FC">
        <w:rPr>
          <w:rFonts w:ascii="Arial" w:hAnsi="Arial" w:cs="Arial"/>
          <w:sz w:val="24"/>
          <w:szCs w:val="24"/>
        </w:rPr>
        <w:t>Where a local government has exercised its power to borrow for a purpose and has funding left over</w:t>
      </w:r>
    </w:p>
    <w:p w14:paraId="689BA865" w14:textId="4CDDD82D" w:rsidR="00A1697A" w:rsidRPr="00AD2E70" w:rsidRDefault="7DCEF4FC" w:rsidP="7DCEF4FC">
      <w:pPr>
        <w:pStyle w:val="ListParagraph"/>
        <w:numPr>
          <w:ilvl w:val="1"/>
          <w:numId w:val="34"/>
        </w:numPr>
        <w:rPr>
          <w:rFonts w:ascii="Arial" w:hAnsi="Arial" w:cs="Arial"/>
          <w:sz w:val="24"/>
          <w:szCs w:val="24"/>
        </w:rPr>
      </w:pPr>
      <w:r w:rsidRPr="7DCEF4FC">
        <w:rPr>
          <w:rFonts w:ascii="Arial" w:hAnsi="Arial" w:cs="Arial"/>
          <w:sz w:val="24"/>
          <w:szCs w:val="24"/>
        </w:rPr>
        <w:t>Public notice is not required in any of these situations</w:t>
      </w:r>
    </w:p>
    <w:p w14:paraId="31262067" w14:textId="78D437FA" w:rsidR="00F42BE2" w:rsidRPr="00AD2E70" w:rsidRDefault="7DCEF4FC" w:rsidP="7DCEF4FC">
      <w:pPr>
        <w:pStyle w:val="ListParagraph"/>
        <w:numPr>
          <w:ilvl w:val="1"/>
          <w:numId w:val="34"/>
        </w:numPr>
        <w:rPr>
          <w:rFonts w:ascii="Arial" w:hAnsi="Arial" w:cs="Arial"/>
          <w:sz w:val="24"/>
          <w:szCs w:val="24"/>
        </w:rPr>
      </w:pPr>
      <w:r w:rsidRPr="7DCEF4FC">
        <w:rPr>
          <w:rFonts w:ascii="Arial" w:hAnsi="Arial" w:cs="Arial"/>
          <w:sz w:val="24"/>
          <w:szCs w:val="24"/>
        </w:rPr>
        <w:t>Unsure</w:t>
      </w:r>
    </w:p>
    <w:p w14:paraId="007474F3" w14:textId="16CF86D7" w:rsidR="00F42BE2" w:rsidRPr="00AD2E70" w:rsidRDefault="7DCEF4FC" w:rsidP="7DCEF4FC">
      <w:pPr>
        <w:pStyle w:val="ListParagraph"/>
        <w:numPr>
          <w:ilvl w:val="0"/>
          <w:numId w:val="34"/>
        </w:numPr>
        <w:rPr>
          <w:rFonts w:ascii="Arial" w:hAnsi="Arial" w:cs="Arial"/>
          <w:sz w:val="24"/>
          <w:szCs w:val="24"/>
        </w:rPr>
      </w:pPr>
      <w:r w:rsidRPr="7DCEF4FC">
        <w:rPr>
          <w:rFonts w:ascii="Arial" w:hAnsi="Arial" w:cs="Arial"/>
          <w:sz w:val="24"/>
          <w:szCs w:val="24"/>
        </w:rPr>
        <w:t>Should local governments be permitted to secure loans using assets that they own freehold?</w:t>
      </w:r>
    </w:p>
    <w:p w14:paraId="241F2CA1" w14:textId="00444401" w:rsidR="00F42BE2" w:rsidRPr="00AD2E70" w:rsidRDefault="7DCEF4FC" w:rsidP="7DCEF4FC">
      <w:pPr>
        <w:pStyle w:val="ListParagraph"/>
        <w:numPr>
          <w:ilvl w:val="1"/>
          <w:numId w:val="34"/>
        </w:numPr>
        <w:rPr>
          <w:rFonts w:ascii="Arial" w:hAnsi="Arial" w:cs="Arial"/>
          <w:sz w:val="24"/>
          <w:szCs w:val="24"/>
        </w:rPr>
      </w:pPr>
      <w:r w:rsidRPr="7DCEF4FC">
        <w:rPr>
          <w:rFonts w:ascii="Arial" w:hAnsi="Arial" w:cs="Arial"/>
          <w:sz w:val="24"/>
          <w:szCs w:val="24"/>
        </w:rPr>
        <w:t>Yes</w:t>
      </w:r>
    </w:p>
    <w:p w14:paraId="55F188AB" w14:textId="4BCE7AA7" w:rsidR="00F42BE2" w:rsidRPr="00AD2E70" w:rsidRDefault="7DCEF4FC" w:rsidP="7DCEF4FC">
      <w:pPr>
        <w:pStyle w:val="ListParagraph"/>
        <w:numPr>
          <w:ilvl w:val="1"/>
          <w:numId w:val="34"/>
        </w:numPr>
        <w:rPr>
          <w:rFonts w:ascii="Arial" w:hAnsi="Arial" w:cs="Arial"/>
          <w:sz w:val="24"/>
          <w:szCs w:val="24"/>
        </w:rPr>
      </w:pPr>
      <w:r w:rsidRPr="7DCEF4FC">
        <w:rPr>
          <w:rFonts w:ascii="Arial" w:hAnsi="Arial" w:cs="Arial"/>
          <w:sz w:val="24"/>
          <w:szCs w:val="24"/>
        </w:rPr>
        <w:t>No</w:t>
      </w:r>
    </w:p>
    <w:p w14:paraId="7652502B" w14:textId="426DCA31" w:rsidR="00F42BE2" w:rsidRPr="00AD2E70" w:rsidRDefault="7DCEF4FC" w:rsidP="7DCEF4FC">
      <w:pPr>
        <w:pStyle w:val="ListParagraph"/>
        <w:numPr>
          <w:ilvl w:val="1"/>
          <w:numId w:val="34"/>
        </w:numPr>
        <w:rPr>
          <w:sz w:val="24"/>
          <w:szCs w:val="24"/>
        </w:rPr>
      </w:pPr>
      <w:r w:rsidRPr="7DCEF4FC">
        <w:rPr>
          <w:rFonts w:ascii="Arial" w:hAnsi="Arial" w:cs="Arial"/>
          <w:sz w:val="24"/>
          <w:szCs w:val="24"/>
        </w:rPr>
        <w:t>Unsure</w:t>
      </w:r>
    </w:p>
    <w:p w14:paraId="3D317B02" w14:textId="6404DA3F" w:rsidR="00F42BE2" w:rsidRPr="00AD2E70" w:rsidRDefault="7DCEF4FC" w:rsidP="7DCEF4FC">
      <w:pPr>
        <w:pStyle w:val="ListParagraph"/>
        <w:numPr>
          <w:ilvl w:val="0"/>
          <w:numId w:val="34"/>
        </w:numPr>
        <w:rPr>
          <w:rFonts w:ascii="Arial" w:hAnsi="Arial" w:cs="Arial"/>
          <w:sz w:val="24"/>
          <w:szCs w:val="24"/>
        </w:rPr>
      </w:pPr>
      <w:r w:rsidRPr="7DCEF4FC">
        <w:rPr>
          <w:rFonts w:ascii="Arial" w:hAnsi="Arial" w:cs="Arial"/>
          <w:sz w:val="24"/>
          <w:szCs w:val="24"/>
        </w:rPr>
        <w:t>Should local government be permitted to participate in Building Upgrade Finance programs?</w:t>
      </w:r>
    </w:p>
    <w:p w14:paraId="11310DBB" w14:textId="0AD2B585" w:rsidR="00F42BE2" w:rsidRPr="00AD2E70" w:rsidRDefault="7DCEF4FC" w:rsidP="7DCEF4FC">
      <w:pPr>
        <w:pStyle w:val="ListParagraph"/>
        <w:numPr>
          <w:ilvl w:val="1"/>
          <w:numId w:val="34"/>
        </w:numPr>
        <w:rPr>
          <w:rFonts w:ascii="Arial" w:hAnsi="Arial" w:cs="Arial"/>
          <w:sz w:val="24"/>
          <w:szCs w:val="24"/>
        </w:rPr>
      </w:pPr>
      <w:r w:rsidRPr="7DCEF4FC">
        <w:rPr>
          <w:rFonts w:ascii="Arial" w:hAnsi="Arial" w:cs="Arial"/>
          <w:sz w:val="24"/>
          <w:szCs w:val="24"/>
        </w:rPr>
        <w:t>Yes</w:t>
      </w:r>
    </w:p>
    <w:p w14:paraId="508A6ACF" w14:textId="2AD07588" w:rsidR="00F42BE2" w:rsidRPr="00AD2E70" w:rsidRDefault="7DCEF4FC" w:rsidP="7DCEF4FC">
      <w:pPr>
        <w:pStyle w:val="ListParagraph"/>
        <w:numPr>
          <w:ilvl w:val="1"/>
          <w:numId w:val="34"/>
        </w:numPr>
        <w:rPr>
          <w:rFonts w:ascii="Arial" w:hAnsi="Arial" w:cs="Arial"/>
          <w:sz w:val="24"/>
          <w:szCs w:val="24"/>
        </w:rPr>
      </w:pPr>
      <w:r w:rsidRPr="7DCEF4FC">
        <w:rPr>
          <w:rFonts w:ascii="Arial" w:hAnsi="Arial" w:cs="Arial"/>
          <w:sz w:val="24"/>
          <w:szCs w:val="24"/>
        </w:rPr>
        <w:t>No</w:t>
      </w:r>
    </w:p>
    <w:p w14:paraId="1A39B98D" w14:textId="61B0770A" w:rsidR="00F42BE2" w:rsidRPr="00AD2E70" w:rsidRDefault="7DCEF4FC" w:rsidP="7DCEF4FC">
      <w:pPr>
        <w:pStyle w:val="ListParagraph"/>
        <w:numPr>
          <w:ilvl w:val="1"/>
          <w:numId w:val="34"/>
        </w:numPr>
        <w:rPr>
          <w:rFonts w:ascii="Arial" w:hAnsi="Arial" w:cs="Arial"/>
          <w:sz w:val="24"/>
          <w:szCs w:val="24"/>
        </w:rPr>
      </w:pPr>
      <w:r w:rsidRPr="7DCEF4FC">
        <w:rPr>
          <w:rFonts w:ascii="Arial" w:hAnsi="Arial" w:cs="Arial"/>
          <w:sz w:val="24"/>
          <w:szCs w:val="24"/>
        </w:rPr>
        <w:t>Unsure</w:t>
      </w:r>
    </w:p>
    <w:p w14:paraId="49D3B6DD" w14:textId="6122CCAF" w:rsidR="00F42BE2" w:rsidRPr="00AD2E70" w:rsidRDefault="7DCEF4FC" w:rsidP="7DCEF4FC">
      <w:pPr>
        <w:pStyle w:val="ListParagraph"/>
        <w:numPr>
          <w:ilvl w:val="0"/>
          <w:numId w:val="34"/>
        </w:numPr>
        <w:rPr>
          <w:rFonts w:ascii="Arial" w:hAnsi="Arial" w:cs="Arial"/>
          <w:sz w:val="24"/>
          <w:szCs w:val="24"/>
        </w:rPr>
      </w:pPr>
      <w:r w:rsidRPr="7DCEF4FC">
        <w:rPr>
          <w:rFonts w:ascii="Arial" w:hAnsi="Arial" w:cs="Arial"/>
          <w:sz w:val="24"/>
          <w:szCs w:val="24"/>
        </w:rPr>
        <w:t>What types of upgrades should be eligible for the program?</w:t>
      </w:r>
    </w:p>
    <w:p w14:paraId="0F132D52" w14:textId="572A2E07" w:rsidR="00F42BE2" w:rsidRPr="00AD2E70" w:rsidRDefault="7DCEF4FC" w:rsidP="7DCEF4FC">
      <w:pPr>
        <w:pStyle w:val="ListParagraph"/>
        <w:numPr>
          <w:ilvl w:val="1"/>
          <w:numId w:val="34"/>
        </w:numPr>
        <w:rPr>
          <w:rFonts w:ascii="Arial" w:hAnsi="Arial" w:cs="Arial"/>
          <w:sz w:val="24"/>
          <w:szCs w:val="24"/>
        </w:rPr>
      </w:pPr>
      <w:r w:rsidRPr="7DCEF4FC">
        <w:rPr>
          <w:rFonts w:ascii="Arial" w:hAnsi="Arial" w:cs="Arial"/>
          <w:sz w:val="24"/>
          <w:szCs w:val="24"/>
        </w:rPr>
        <w:t>Environmental upgrades</w:t>
      </w:r>
    </w:p>
    <w:p w14:paraId="0834B0FE" w14:textId="631C61E6" w:rsidR="00F42BE2" w:rsidRPr="00AD2E70" w:rsidRDefault="7DCEF4FC" w:rsidP="7DCEF4FC">
      <w:pPr>
        <w:pStyle w:val="ListParagraph"/>
        <w:numPr>
          <w:ilvl w:val="1"/>
          <w:numId w:val="34"/>
        </w:numPr>
        <w:rPr>
          <w:rFonts w:ascii="Arial" w:hAnsi="Arial" w:cs="Arial"/>
          <w:sz w:val="24"/>
          <w:szCs w:val="24"/>
        </w:rPr>
      </w:pPr>
      <w:r w:rsidRPr="7DCEF4FC">
        <w:rPr>
          <w:rFonts w:ascii="Arial" w:hAnsi="Arial" w:cs="Arial"/>
          <w:sz w:val="24"/>
          <w:szCs w:val="24"/>
        </w:rPr>
        <w:t>Commercial upgrades</w:t>
      </w:r>
    </w:p>
    <w:p w14:paraId="52E497D5" w14:textId="538C06BD" w:rsidR="00F42BE2" w:rsidRPr="00AD2E70" w:rsidRDefault="7DCEF4FC" w:rsidP="7DCEF4FC">
      <w:pPr>
        <w:pStyle w:val="ListParagraph"/>
        <w:numPr>
          <w:ilvl w:val="1"/>
          <w:numId w:val="34"/>
        </w:numPr>
        <w:rPr>
          <w:rFonts w:ascii="Arial" w:hAnsi="Arial" w:cs="Arial"/>
          <w:sz w:val="24"/>
          <w:szCs w:val="24"/>
        </w:rPr>
      </w:pPr>
      <w:r w:rsidRPr="7DCEF4FC">
        <w:rPr>
          <w:rFonts w:ascii="Arial" w:hAnsi="Arial" w:cs="Arial"/>
          <w:sz w:val="24"/>
          <w:szCs w:val="24"/>
        </w:rPr>
        <w:t>Both environmental and commercial</w:t>
      </w:r>
    </w:p>
    <w:p w14:paraId="3DEB6298" w14:textId="4FC8B7B8" w:rsidR="00F42BE2" w:rsidRPr="00AD2E70" w:rsidRDefault="7DCEF4FC" w:rsidP="7DCEF4FC">
      <w:pPr>
        <w:pStyle w:val="ListParagraph"/>
        <w:numPr>
          <w:ilvl w:val="1"/>
          <w:numId w:val="34"/>
        </w:numPr>
        <w:rPr>
          <w:rFonts w:ascii="Arial" w:hAnsi="Arial" w:cs="Arial"/>
          <w:sz w:val="24"/>
          <w:szCs w:val="24"/>
        </w:rPr>
      </w:pPr>
      <w:r w:rsidRPr="7DCEF4FC">
        <w:rPr>
          <w:rFonts w:ascii="Arial" w:hAnsi="Arial" w:cs="Arial"/>
          <w:sz w:val="24"/>
          <w:szCs w:val="24"/>
        </w:rPr>
        <w:t>Neither</w:t>
      </w:r>
    </w:p>
    <w:p w14:paraId="623CF432" w14:textId="4733EEF6" w:rsidR="00F42BE2" w:rsidRPr="00AD2E70" w:rsidRDefault="7DCEF4FC" w:rsidP="7DCEF4FC">
      <w:pPr>
        <w:pStyle w:val="ListParagraph"/>
        <w:numPr>
          <w:ilvl w:val="1"/>
          <w:numId w:val="34"/>
        </w:numPr>
        <w:rPr>
          <w:rFonts w:ascii="Arial" w:hAnsi="Arial" w:cs="Arial"/>
          <w:sz w:val="24"/>
          <w:szCs w:val="24"/>
        </w:rPr>
      </w:pPr>
      <w:r w:rsidRPr="7DCEF4FC">
        <w:rPr>
          <w:rFonts w:ascii="Arial" w:hAnsi="Arial" w:cs="Arial"/>
          <w:sz w:val="24"/>
          <w:szCs w:val="24"/>
        </w:rPr>
        <w:lastRenderedPageBreak/>
        <w:t>Other (please specify)</w:t>
      </w:r>
    </w:p>
    <w:p w14:paraId="146CC624" w14:textId="1030BAC4" w:rsidR="00AD2E70" w:rsidRPr="00AD2E70" w:rsidRDefault="00F42BE2" w:rsidP="7DCEF4FC">
      <w:pPr>
        <w:pStyle w:val="ListParagraph"/>
        <w:numPr>
          <w:ilvl w:val="0"/>
          <w:numId w:val="34"/>
        </w:numPr>
        <w:rPr>
          <w:rFonts w:ascii="Arial" w:hAnsi="Arial" w:cs="Arial"/>
          <w:sz w:val="24"/>
          <w:szCs w:val="24"/>
        </w:rPr>
      </w:pPr>
      <w:r w:rsidRPr="7DCEF4FC">
        <w:rPr>
          <w:rFonts w:ascii="Arial" w:hAnsi="Arial" w:cs="Arial"/>
          <w:sz w:val="24"/>
          <w:szCs w:val="24"/>
          <w:shd w:val="clear" w:color="auto" w:fill="FFFFFF"/>
        </w:rPr>
        <w:t xml:space="preserve">Do you have any additional comments on the topic of financial management?  Additional information can also be provided to the review team via email at </w:t>
      </w:r>
      <w:hyperlink r:id="rId17" w:history="1">
        <w:r w:rsidR="00AD2E70" w:rsidRPr="00947D79">
          <w:rPr>
            <w:rStyle w:val="Hyperlink"/>
            <w:rFonts w:cs="Arial"/>
            <w:shd w:val="clear" w:color="auto" w:fill="FFFFFF"/>
          </w:rPr>
          <w:t>actreview@dlgsc.wa.gov.au</w:t>
        </w:r>
      </w:hyperlink>
      <w:r w:rsidR="00AD2E70" w:rsidRPr="7DCEF4FC">
        <w:rPr>
          <w:rFonts w:ascii="Arial" w:hAnsi="Arial" w:cs="Arial"/>
          <w:sz w:val="24"/>
          <w:szCs w:val="24"/>
          <w:shd w:val="clear" w:color="auto" w:fill="FFFFFF"/>
        </w:rPr>
        <w:t>.</w:t>
      </w:r>
    </w:p>
    <w:p w14:paraId="2755A7C0" w14:textId="77777777" w:rsidR="00AD2E70" w:rsidRPr="00AD2E70" w:rsidRDefault="00AD2E70" w:rsidP="00AD2E70">
      <w:pPr>
        <w:ind w:left="360"/>
        <w:rPr>
          <w:rFonts w:ascii="Arial" w:hAnsi="Arial" w:cs="Arial"/>
          <w:sz w:val="24"/>
        </w:rPr>
      </w:pPr>
    </w:p>
    <w:p w14:paraId="2E631FA5" w14:textId="120E1B91" w:rsidR="00F42BE2" w:rsidRPr="00AD2E70" w:rsidRDefault="00F42BE2" w:rsidP="00AD2E70">
      <w:pPr>
        <w:pStyle w:val="ListParagraph"/>
        <w:rPr>
          <w:rFonts w:ascii="Arial" w:hAnsi="Arial" w:cs="Arial"/>
          <w:sz w:val="24"/>
        </w:rPr>
      </w:pPr>
    </w:p>
    <w:bookmarkEnd w:id="18"/>
    <w:bookmarkEnd w:id="21"/>
    <w:p w14:paraId="56539B90" w14:textId="77777777" w:rsidR="00DD51FB" w:rsidRPr="00DD51FB" w:rsidRDefault="00DD51FB" w:rsidP="00DD51FB"/>
    <w:sectPr w:rsidR="00DD51FB" w:rsidRPr="00DD51FB" w:rsidSect="005B4CA6">
      <w:headerReference w:type="default" r:id="rId18"/>
      <w:footerReference w:type="default" r:id="rId19"/>
      <w:headerReference w:type="first" r:id="rId20"/>
      <w:footerReference w:type="first" r:id="rId21"/>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9E9DE" w14:textId="77777777" w:rsidR="002335D7" w:rsidRDefault="002335D7" w:rsidP="009C5549">
      <w:pPr>
        <w:spacing w:after="0" w:line="240" w:lineRule="auto"/>
      </w:pPr>
      <w:r>
        <w:separator/>
      </w:r>
    </w:p>
  </w:endnote>
  <w:endnote w:type="continuationSeparator" w:id="0">
    <w:p w14:paraId="28AF5176" w14:textId="77777777" w:rsidR="002335D7" w:rsidRDefault="002335D7" w:rsidP="009C5549">
      <w:pPr>
        <w:spacing w:after="0" w:line="240" w:lineRule="auto"/>
      </w:pPr>
      <w:r>
        <w:continuationSeparator/>
      </w:r>
    </w:p>
  </w:endnote>
  <w:endnote w:type="continuationNotice" w:id="1">
    <w:p w14:paraId="4A1FD23D" w14:textId="77777777" w:rsidR="002335D7" w:rsidRDefault="002335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6777320"/>
      <w:docPartObj>
        <w:docPartGallery w:val="Page Numbers (Bottom of Page)"/>
        <w:docPartUnique/>
      </w:docPartObj>
    </w:sdtPr>
    <w:sdtEndPr>
      <w:rPr>
        <w:color w:val="7F7F7F" w:themeColor="background1" w:themeShade="7F"/>
        <w:spacing w:val="60"/>
      </w:rPr>
    </w:sdtEndPr>
    <w:sdtContent>
      <w:p w14:paraId="1327E098" w14:textId="1C9FB13F" w:rsidR="00724366" w:rsidRDefault="00724366">
        <w:pPr>
          <w:pStyle w:val="Footer"/>
          <w:pBdr>
            <w:top w:val="single" w:sz="4" w:space="1" w:color="D9D9D9" w:themeColor="background1" w:themeShade="D9"/>
          </w:pBdr>
          <w:jc w:val="right"/>
        </w:pPr>
        <w:r>
          <w:rPr>
            <w:noProof/>
          </w:rPr>
          <w:fldChar w:fldCharType="begin"/>
        </w:r>
        <w:r>
          <w:instrText xml:space="preserve"> PAGE   \* MERGEFORMAT </w:instrText>
        </w:r>
        <w:r>
          <w:fldChar w:fldCharType="separate"/>
        </w:r>
        <w:r w:rsidR="002152E9">
          <w:rPr>
            <w:noProof/>
          </w:rPr>
          <w:t>25</w:t>
        </w:r>
        <w:r>
          <w:rPr>
            <w:noProof/>
          </w:rPr>
          <w:fldChar w:fldCharType="end"/>
        </w:r>
        <w:r>
          <w:t xml:space="preserve"> </w:t>
        </w:r>
        <w:r w:rsidRPr="00C900CA">
          <w:rPr>
            <w:color w:val="C0311A"/>
          </w:rPr>
          <w:t xml:space="preserve">| </w:t>
        </w:r>
        <w:r w:rsidRPr="00C900CA">
          <w:rPr>
            <w:color w:val="C0311A"/>
            <w:spacing w:val="60"/>
          </w:rPr>
          <w:t>Page</w:t>
        </w:r>
      </w:p>
    </w:sdtContent>
  </w:sdt>
  <w:p w14:paraId="19D2B1BE" w14:textId="77777777" w:rsidR="00724366" w:rsidRDefault="007243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3193"/>
      <w:docPartObj>
        <w:docPartGallery w:val="Page Numbers (Bottom of Page)"/>
        <w:docPartUnique/>
      </w:docPartObj>
    </w:sdtPr>
    <w:sdtEndPr>
      <w:rPr>
        <w:color w:val="C0311A"/>
        <w:spacing w:val="60"/>
      </w:rPr>
    </w:sdtEndPr>
    <w:sdtContent>
      <w:p w14:paraId="03748D23" w14:textId="30311301" w:rsidR="00724366" w:rsidRPr="00C900CA" w:rsidRDefault="00724366" w:rsidP="7DCEF4FC">
        <w:pPr>
          <w:pStyle w:val="Footer"/>
          <w:pBdr>
            <w:top w:val="single" w:sz="4" w:space="1" w:color="D9D9D9" w:themeColor="background1" w:themeShade="D9"/>
          </w:pBdr>
          <w:jc w:val="right"/>
          <w:rPr>
            <w:color w:val="C0311A"/>
          </w:rPr>
        </w:pPr>
        <w:r>
          <w:rPr>
            <w:noProof/>
          </w:rPr>
          <w:fldChar w:fldCharType="begin"/>
        </w:r>
        <w:r>
          <w:instrText xml:space="preserve"> PAGE   \* MERGEFORMAT </w:instrText>
        </w:r>
        <w:r>
          <w:fldChar w:fldCharType="separate"/>
        </w:r>
        <w:r w:rsidR="002152E9">
          <w:rPr>
            <w:noProof/>
          </w:rPr>
          <w:t>1</w:t>
        </w:r>
        <w:r>
          <w:rPr>
            <w:noProof/>
          </w:rPr>
          <w:fldChar w:fldCharType="end"/>
        </w:r>
        <w:r w:rsidRPr="00C900CA">
          <w:rPr>
            <w:color w:val="C0311A"/>
          </w:rPr>
          <w:t xml:space="preserve"> | </w:t>
        </w:r>
        <w:r w:rsidRPr="00C900CA">
          <w:rPr>
            <w:color w:val="C0311A"/>
            <w:spacing w:val="60"/>
          </w:rPr>
          <w:t>Page</w:t>
        </w:r>
      </w:p>
    </w:sdtContent>
  </w:sdt>
  <w:p w14:paraId="4029176D" w14:textId="77777777" w:rsidR="00724366" w:rsidRDefault="00724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92CC7" w14:textId="77777777" w:rsidR="002335D7" w:rsidRDefault="002335D7" w:rsidP="009C5549">
      <w:pPr>
        <w:spacing w:after="0" w:line="240" w:lineRule="auto"/>
      </w:pPr>
      <w:r>
        <w:separator/>
      </w:r>
    </w:p>
  </w:footnote>
  <w:footnote w:type="continuationSeparator" w:id="0">
    <w:p w14:paraId="7B657181" w14:textId="77777777" w:rsidR="002335D7" w:rsidRDefault="002335D7" w:rsidP="009C5549">
      <w:pPr>
        <w:spacing w:after="0" w:line="240" w:lineRule="auto"/>
      </w:pPr>
      <w:r>
        <w:continuationSeparator/>
      </w:r>
    </w:p>
  </w:footnote>
  <w:footnote w:type="continuationNotice" w:id="1">
    <w:p w14:paraId="55F55526" w14:textId="77777777" w:rsidR="002335D7" w:rsidRDefault="002335D7">
      <w:pPr>
        <w:spacing w:after="0" w:line="240" w:lineRule="auto"/>
      </w:pPr>
    </w:p>
  </w:footnote>
  <w:footnote w:id="2">
    <w:p w14:paraId="638F0E2D" w14:textId="77777777" w:rsidR="00724366" w:rsidRDefault="00724366" w:rsidP="00CA7F75">
      <w:pPr>
        <w:pStyle w:val="FootnoteText"/>
      </w:pPr>
      <w:r>
        <w:rPr>
          <w:rStyle w:val="FootnoteReference"/>
        </w:rPr>
        <w:footnoteRef/>
      </w:r>
      <w:r>
        <w:t xml:space="preserve"> 20-year period in Tasmania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08106" w14:textId="5DA0F227" w:rsidR="00724366" w:rsidRDefault="007243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0AFFB" w14:textId="67C496CB" w:rsidR="00724366" w:rsidRDefault="00724366" w:rsidP="005B4CA6">
    <w:pPr>
      <w:pStyle w:val="Header"/>
      <w:ind w:left="-1418"/>
    </w:pPr>
    <w:r>
      <w:rPr>
        <w:noProof/>
        <w:lang w:eastAsia="en-AU"/>
      </w:rPr>
      <w:drawing>
        <wp:inline distT="0" distB="0" distL="0" distR="0" wp14:anchorId="7BD9D5DD" wp14:editId="2F1936F7">
          <wp:extent cx="7562520" cy="3000375"/>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graphic_24-8-18_agile tab.jpg"/>
                  <pic:cNvPicPr/>
                </pic:nvPicPr>
                <pic:blipFill>
                  <a:blip r:embed="rId1">
                    <a:extLst>
                      <a:ext uri="{28A0092B-C50C-407E-A947-70E740481C1C}">
                        <a14:useLocalDpi xmlns:a14="http://schemas.microsoft.com/office/drawing/2010/main" val="0"/>
                      </a:ext>
                    </a:extLst>
                  </a:blip>
                  <a:stretch>
                    <a:fillRect/>
                  </a:stretch>
                </pic:blipFill>
                <pic:spPr>
                  <a:xfrm>
                    <a:off x="0" y="0"/>
                    <a:ext cx="7585220" cy="30093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3B8C"/>
    <w:multiLevelType w:val="hybridMultilevel"/>
    <w:tmpl w:val="51DCC596"/>
    <w:lvl w:ilvl="0" w:tplc="5D04D4FE">
      <w:start w:val="1"/>
      <w:numFmt w:val="decimal"/>
      <w:lvlText w:val="%1."/>
      <w:lvlJc w:val="left"/>
      <w:pPr>
        <w:ind w:left="720" w:hanging="360"/>
      </w:pPr>
      <w:rPr>
        <w:rFonts w:asciiTheme="minorHAnsi" w:hAnsiTheme="minorHAnsi" w:cstheme="minorHAnsi" w:hint="default"/>
        <w:i w:val="0"/>
      </w:rPr>
    </w:lvl>
    <w:lvl w:ilvl="1" w:tplc="A788A0CA">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0630405"/>
    <w:multiLevelType w:val="hybridMultilevel"/>
    <w:tmpl w:val="2682C12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11B0710"/>
    <w:multiLevelType w:val="hybridMultilevel"/>
    <w:tmpl w:val="2B4A2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81719B"/>
    <w:multiLevelType w:val="hybridMultilevel"/>
    <w:tmpl w:val="0D805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F87E3C"/>
    <w:multiLevelType w:val="hybridMultilevel"/>
    <w:tmpl w:val="20001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DB68D8"/>
    <w:multiLevelType w:val="hybridMultilevel"/>
    <w:tmpl w:val="AA3088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065995"/>
    <w:multiLevelType w:val="hybridMultilevel"/>
    <w:tmpl w:val="F15CE51A"/>
    <w:lvl w:ilvl="0" w:tplc="5D04D4FE">
      <w:start w:val="1"/>
      <w:numFmt w:val="decimal"/>
      <w:lvlText w:val="%1."/>
      <w:lvlJc w:val="left"/>
      <w:pPr>
        <w:ind w:left="720" w:hanging="360"/>
      </w:pPr>
      <w:rPr>
        <w:rFonts w:asciiTheme="minorHAnsi" w:hAnsiTheme="minorHAnsi" w:cstheme="minorHAnsi" w:hint="default"/>
        <w:i w:val="0"/>
      </w:rPr>
    </w:lvl>
    <w:lvl w:ilvl="1" w:tplc="A788A0CA">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1D22EF"/>
    <w:multiLevelType w:val="hybridMultilevel"/>
    <w:tmpl w:val="E57EA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F60D68"/>
    <w:multiLevelType w:val="hybridMultilevel"/>
    <w:tmpl w:val="F32C9552"/>
    <w:lvl w:ilvl="0" w:tplc="5D04D4FE">
      <w:start w:val="1"/>
      <w:numFmt w:val="decimal"/>
      <w:lvlText w:val="%1."/>
      <w:lvlJc w:val="left"/>
      <w:pPr>
        <w:ind w:left="720" w:hanging="360"/>
      </w:pPr>
      <w:rPr>
        <w:rFonts w:asciiTheme="minorHAnsi" w:hAnsiTheme="minorHAnsi" w:cstheme="minorHAnsi" w:hint="default"/>
        <w:i w:val="0"/>
      </w:rPr>
    </w:lvl>
    <w:lvl w:ilvl="1" w:tplc="A788A0CA">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466018"/>
    <w:multiLevelType w:val="hybridMultilevel"/>
    <w:tmpl w:val="6BAAF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F11FC6"/>
    <w:multiLevelType w:val="hybridMultilevel"/>
    <w:tmpl w:val="2C064744"/>
    <w:lvl w:ilvl="0" w:tplc="A788A0CA">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D6F73BD"/>
    <w:multiLevelType w:val="hybridMultilevel"/>
    <w:tmpl w:val="BE24E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4B45E4"/>
    <w:multiLevelType w:val="hybridMultilevel"/>
    <w:tmpl w:val="1D1AF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434F83"/>
    <w:multiLevelType w:val="hybridMultilevel"/>
    <w:tmpl w:val="4C92F3CA"/>
    <w:lvl w:ilvl="0" w:tplc="5D04D4FE">
      <w:start w:val="1"/>
      <w:numFmt w:val="decimal"/>
      <w:lvlText w:val="%1."/>
      <w:lvlJc w:val="left"/>
      <w:pPr>
        <w:ind w:left="720" w:hanging="360"/>
      </w:pPr>
      <w:rPr>
        <w:rFonts w:asciiTheme="minorHAnsi" w:hAnsiTheme="minorHAnsi" w:cstheme="minorHAnsi" w:hint="default"/>
        <w:i w:val="0"/>
      </w:rPr>
    </w:lvl>
    <w:lvl w:ilvl="1" w:tplc="A788A0CA">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C5D2125"/>
    <w:multiLevelType w:val="hybridMultilevel"/>
    <w:tmpl w:val="FFF0623E"/>
    <w:lvl w:ilvl="0" w:tplc="5D04D4FE">
      <w:start w:val="1"/>
      <w:numFmt w:val="decimal"/>
      <w:lvlText w:val="%1."/>
      <w:lvlJc w:val="left"/>
      <w:pPr>
        <w:ind w:left="720" w:hanging="360"/>
      </w:pPr>
      <w:rPr>
        <w:rFonts w:asciiTheme="minorHAnsi" w:hAnsiTheme="minorHAnsi" w:cstheme="minorHAnsi" w:hint="default"/>
        <w:i w:val="0"/>
      </w:rPr>
    </w:lvl>
    <w:lvl w:ilvl="1" w:tplc="A788A0CA">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D18243A"/>
    <w:multiLevelType w:val="hybridMultilevel"/>
    <w:tmpl w:val="FFF0623E"/>
    <w:lvl w:ilvl="0" w:tplc="5D04D4FE">
      <w:start w:val="1"/>
      <w:numFmt w:val="decimal"/>
      <w:lvlText w:val="%1."/>
      <w:lvlJc w:val="left"/>
      <w:pPr>
        <w:ind w:left="720" w:hanging="360"/>
      </w:pPr>
      <w:rPr>
        <w:rFonts w:asciiTheme="minorHAnsi" w:hAnsiTheme="minorHAnsi" w:cstheme="minorHAnsi" w:hint="default"/>
        <w:i w:val="0"/>
      </w:rPr>
    </w:lvl>
    <w:lvl w:ilvl="1" w:tplc="A788A0CA">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F017B10"/>
    <w:multiLevelType w:val="hybridMultilevel"/>
    <w:tmpl w:val="AF9205BE"/>
    <w:lvl w:ilvl="0" w:tplc="5D04D4FE">
      <w:start w:val="1"/>
      <w:numFmt w:val="decimal"/>
      <w:lvlText w:val="%1."/>
      <w:lvlJc w:val="left"/>
      <w:pPr>
        <w:ind w:left="720" w:hanging="360"/>
      </w:pPr>
      <w:rPr>
        <w:rFonts w:asciiTheme="minorHAnsi" w:hAnsiTheme="minorHAnsi" w:cstheme="minorHAnsi" w:hint="default"/>
        <w:i w:val="0"/>
      </w:rPr>
    </w:lvl>
    <w:lvl w:ilvl="1" w:tplc="A788A0CA">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1E6102F"/>
    <w:multiLevelType w:val="hybridMultilevel"/>
    <w:tmpl w:val="0450DE4C"/>
    <w:lvl w:ilvl="0" w:tplc="5D04D4FE">
      <w:start w:val="1"/>
      <w:numFmt w:val="decimal"/>
      <w:lvlText w:val="%1."/>
      <w:lvlJc w:val="left"/>
      <w:pPr>
        <w:ind w:left="720" w:hanging="360"/>
      </w:pPr>
      <w:rPr>
        <w:rFonts w:asciiTheme="minorHAnsi" w:hAnsiTheme="minorHAnsi" w:cstheme="minorHAnsi" w:hint="default"/>
        <w:i w:val="0"/>
      </w:rPr>
    </w:lvl>
    <w:lvl w:ilvl="1" w:tplc="A788A0CA">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DB62885"/>
    <w:multiLevelType w:val="hybridMultilevel"/>
    <w:tmpl w:val="674AEE9A"/>
    <w:lvl w:ilvl="0" w:tplc="A788A0C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EF216BD"/>
    <w:multiLevelType w:val="hybridMultilevel"/>
    <w:tmpl w:val="2F90039A"/>
    <w:lvl w:ilvl="0" w:tplc="57BEA3C6">
      <w:start w:val="2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9255A5"/>
    <w:multiLevelType w:val="hybridMultilevel"/>
    <w:tmpl w:val="FFF0623E"/>
    <w:lvl w:ilvl="0" w:tplc="5D04D4FE">
      <w:start w:val="1"/>
      <w:numFmt w:val="decimal"/>
      <w:lvlText w:val="%1."/>
      <w:lvlJc w:val="left"/>
      <w:pPr>
        <w:ind w:left="720" w:hanging="360"/>
      </w:pPr>
      <w:rPr>
        <w:rFonts w:asciiTheme="minorHAnsi" w:hAnsiTheme="minorHAnsi" w:cstheme="minorHAnsi" w:hint="default"/>
        <w:i w:val="0"/>
      </w:rPr>
    </w:lvl>
    <w:lvl w:ilvl="1" w:tplc="A788A0CA">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7A36CB9"/>
    <w:multiLevelType w:val="hybridMultilevel"/>
    <w:tmpl w:val="71B230FC"/>
    <w:lvl w:ilvl="0" w:tplc="5D04D4FE">
      <w:start w:val="1"/>
      <w:numFmt w:val="decimal"/>
      <w:lvlText w:val="%1."/>
      <w:lvlJc w:val="left"/>
      <w:pPr>
        <w:ind w:left="720" w:hanging="360"/>
      </w:pPr>
      <w:rPr>
        <w:rFonts w:asciiTheme="minorHAnsi" w:hAnsiTheme="minorHAnsi" w:cstheme="minorHAnsi" w:hint="default"/>
        <w:i w:val="0"/>
      </w:rPr>
    </w:lvl>
    <w:lvl w:ilvl="1" w:tplc="A788A0CA">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93527F4"/>
    <w:multiLevelType w:val="hybridMultilevel"/>
    <w:tmpl w:val="FFF0623E"/>
    <w:lvl w:ilvl="0" w:tplc="5D04D4FE">
      <w:start w:val="1"/>
      <w:numFmt w:val="decimal"/>
      <w:lvlText w:val="%1."/>
      <w:lvlJc w:val="left"/>
      <w:pPr>
        <w:ind w:left="720" w:hanging="360"/>
      </w:pPr>
      <w:rPr>
        <w:rFonts w:asciiTheme="minorHAnsi" w:hAnsiTheme="minorHAnsi" w:cstheme="minorHAnsi" w:hint="default"/>
        <w:i w:val="0"/>
      </w:rPr>
    </w:lvl>
    <w:lvl w:ilvl="1" w:tplc="A788A0CA">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9A2200B"/>
    <w:multiLevelType w:val="hybridMultilevel"/>
    <w:tmpl w:val="FFF0623E"/>
    <w:lvl w:ilvl="0" w:tplc="5D04D4FE">
      <w:start w:val="1"/>
      <w:numFmt w:val="decimal"/>
      <w:lvlText w:val="%1."/>
      <w:lvlJc w:val="left"/>
      <w:pPr>
        <w:ind w:left="720" w:hanging="360"/>
      </w:pPr>
      <w:rPr>
        <w:rFonts w:asciiTheme="minorHAnsi" w:hAnsiTheme="minorHAnsi" w:cstheme="minorHAnsi" w:hint="default"/>
        <w:i w:val="0"/>
      </w:rPr>
    </w:lvl>
    <w:lvl w:ilvl="1" w:tplc="A788A0CA">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AB0106"/>
    <w:multiLevelType w:val="hybridMultilevel"/>
    <w:tmpl w:val="C6122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E84FC8"/>
    <w:multiLevelType w:val="hybridMultilevel"/>
    <w:tmpl w:val="E2020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A116A7"/>
    <w:multiLevelType w:val="hybridMultilevel"/>
    <w:tmpl w:val="59883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08204A"/>
    <w:multiLevelType w:val="hybridMultilevel"/>
    <w:tmpl w:val="FC82C51E"/>
    <w:lvl w:ilvl="0" w:tplc="A788A0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CC8268A"/>
    <w:multiLevelType w:val="hybridMultilevel"/>
    <w:tmpl w:val="7E92086C"/>
    <w:lvl w:ilvl="0" w:tplc="5D04D4FE">
      <w:start w:val="1"/>
      <w:numFmt w:val="decimal"/>
      <w:lvlText w:val="%1."/>
      <w:lvlJc w:val="left"/>
      <w:pPr>
        <w:ind w:left="720" w:hanging="360"/>
      </w:pPr>
      <w:rPr>
        <w:rFonts w:asciiTheme="minorHAnsi" w:hAnsiTheme="minorHAnsi" w:cstheme="minorHAnsi" w:hint="default"/>
        <w:i w:val="0"/>
      </w:rPr>
    </w:lvl>
    <w:lvl w:ilvl="1" w:tplc="A788A0CA">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04A37E4"/>
    <w:multiLevelType w:val="hybridMultilevel"/>
    <w:tmpl w:val="CBD662E4"/>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30" w15:restartNumberingAfterBreak="0">
    <w:nsid w:val="7321059C"/>
    <w:multiLevelType w:val="hybridMultilevel"/>
    <w:tmpl w:val="7C00B35C"/>
    <w:lvl w:ilvl="0" w:tplc="9B185F68">
      <w:start w:val="4"/>
      <w:numFmt w:val="decimal"/>
      <w:lvlText w:val="%1."/>
      <w:lvlJc w:val="left"/>
      <w:pPr>
        <w:ind w:left="720" w:hanging="360"/>
      </w:pPr>
      <w:rPr>
        <w:rFonts w:asciiTheme="minorHAnsi" w:hAnsiTheme="minorHAnsi" w:cstheme="minorHAnsi" w:hint="default"/>
        <w:i w:val="0"/>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77832659"/>
    <w:multiLevelType w:val="hybridMultilevel"/>
    <w:tmpl w:val="C8AABBC6"/>
    <w:lvl w:ilvl="0" w:tplc="0C090001">
      <w:start w:val="1"/>
      <w:numFmt w:val="bullet"/>
      <w:lvlText w:val=""/>
      <w:lvlJc w:val="left"/>
      <w:pPr>
        <w:ind w:left="890" w:hanging="360"/>
      </w:pPr>
      <w:rPr>
        <w:rFonts w:ascii="Symbol" w:hAnsi="Symbol" w:hint="default"/>
      </w:rPr>
    </w:lvl>
    <w:lvl w:ilvl="1" w:tplc="0C090003">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32" w15:restartNumberingAfterBreak="0">
    <w:nsid w:val="787D37A6"/>
    <w:multiLevelType w:val="hybridMultilevel"/>
    <w:tmpl w:val="2C566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FF7FB5"/>
    <w:multiLevelType w:val="hybridMultilevel"/>
    <w:tmpl w:val="FFF0623E"/>
    <w:lvl w:ilvl="0" w:tplc="5D04D4FE">
      <w:start w:val="1"/>
      <w:numFmt w:val="decimal"/>
      <w:lvlText w:val="%1."/>
      <w:lvlJc w:val="left"/>
      <w:pPr>
        <w:ind w:left="720" w:hanging="360"/>
      </w:pPr>
      <w:rPr>
        <w:rFonts w:asciiTheme="minorHAnsi" w:hAnsiTheme="minorHAnsi" w:cstheme="minorHAnsi" w:hint="default"/>
        <w:i w:val="0"/>
      </w:rPr>
    </w:lvl>
    <w:lvl w:ilvl="1" w:tplc="A788A0CA">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ACD5A4A"/>
    <w:multiLevelType w:val="hybridMultilevel"/>
    <w:tmpl w:val="4276FAA0"/>
    <w:lvl w:ilvl="0" w:tplc="5D04D4FE">
      <w:start w:val="1"/>
      <w:numFmt w:val="decimal"/>
      <w:lvlText w:val="%1."/>
      <w:lvlJc w:val="left"/>
      <w:pPr>
        <w:ind w:left="720" w:hanging="360"/>
      </w:pPr>
      <w:rPr>
        <w:rFonts w:asciiTheme="minorHAnsi" w:hAnsiTheme="minorHAnsi" w:cstheme="minorHAnsi" w:hint="default"/>
        <w:i w:val="0"/>
      </w:rPr>
    </w:lvl>
    <w:lvl w:ilvl="1" w:tplc="A788A0CA">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C3562AF"/>
    <w:multiLevelType w:val="hybridMultilevel"/>
    <w:tmpl w:val="5B60CC52"/>
    <w:lvl w:ilvl="0" w:tplc="0C09000F">
      <w:start w:val="1"/>
      <w:numFmt w:val="decimal"/>
      <w:lvlText w:val="%1."/>
      <w:lvlJc w:val="left"/>
      <w:pPr>
        <w:ind w:left="720" w:hanging="360"/>
      </w:pPr>
    </w:lvl>
    <w:lvl w:ilvl="1" w:tplc="A788A0CA">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3"/>
  </w:num>
  <w:num w:numId="2">
    <w:abstractNumId w:val="31"/>
  </w:num>
  <w:num w:numId="3">
    <w:abstractNumId w:val="26"/>
  </w:num>
  <w:num w:numId="4">
    <w:abstractNumId w:val="2"/>
  </w:num>
  <w:num w:numId="5">
    <w:abstractNumId w:val="24"/>
  </w:num>
  <w:num w:numId="6">
    <w:abstractNumId w:val="25"/>
  </w:num>
  <w:num w:numId="7">
    <w:abstractNumId w:val="7"/>
  </w:num>
  <w:num w:numId="8">
    <w:abstractNumId w:val="28"/>
  </w:num>
  <w:num w:numId="9">
    <w:abstractNumId w:val="0"/>
  </w:num>
  <w:num w:numId="10">
    <w:abstractNumId w:val="21"/>
  </w:num>
  <w:num w:numId="11">
    <w:abstractNumId w:val="16"/>
  </w:num>
  <w:num w:numId="12">
    <w:abstractNumId w:val="34"/>
  </w:num>
  <w:num w:numId="13">
    <w:abstractNumId w:val="8"/>
  </w:num>
  <w:num w:numId="14">
    <w:abstractNumId w:val="17"/>
  </w:num>
  <w:num w:numId="15">
    <w:abstractNumId w:val="9"/>
  </w:num>
  <w:num w:numId="16">
    <w:abstractNumId w:val="29"/>
  </w:num>
  <w:num w:numId="17">
    <w:abstractNumId w:val="6"/>
  </w:num>
  <w:num w:numId="18">
    <w:abstractNumId w:val="35"/>
  </w:num>
  <w:num w:numId="19">
    <w:abstractNumId w:val="11"/>
  </w:num>
  <w:num w:numId="20">
    <w:abstractNumId w:val="27"/>
  </w:num>
  <w:num w:numId="21">
    <w:abstractNumId w:val="19"/>
  </w:num>
  <w:num w:numId="22">
    <w:abstractNumId w:val="10"/>
  </w:num>
  <w:num w:numId="23">
    <w:abstractNumId w:val="18"/>
  </w:num>
  <w:num w:numId="24">
    <w:abstractNumId w:val="32"/>
  </w:num>
  <w:num w:numId="25">
    <w:abstractNumId w:val="13"/>
  </w:num>
  <w:num w:numId="26">
    <w:abstractNumId w:val="12"/>
  </w:num>
  <w:num w:numId="27">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4"/>
  </w:num>
  <w:num w:numId="30">
    <w:abstractNumId w:val="23"/>
  </w:num>
  <w:num w:numId="31">
    <w:abstractNumId w:val="22"/>
  </w:num>
  <w:num w:numId="32">
    <w:abstractNumId w:val="15"/>
  </w:num>
  <w:num w:numId="33">
    <w:abstractNumId w:val="20"/>
  </w:num>
  <w:num w:numId="34">
    <w:abstractNumId w:val="1"/>
  </w:num>
  <w:num w:numId="35">
    <w:abstractNumId w:val="5"/>
  </w:num>
  <w:num w:numId="36">
    <w:abstractNumId w:val="4"/>
  </w:num>
  <w:num w:numId="37">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88"/>
    <w:rsid w:val="0000294F"/>
    <w:rsid w:val="00004E6B"/>
    <w:rsid w:val="00006B5A"/>
    <w:rsid w:val="00011F2B"/>
    <w:rsid w:val="000120DD"/>
    <w:rsid w:val="000225D2"/>
    <w:rsid w:val="00022F4A"/>
    <w:rsid w:val="00025DBD"/>
    <w:rsid w:val="00026B3F"/>
    <w:rsid w:val="00026D3B"/>
    <w:rsid w:val="00027F24"/>
    <w:rsid w:val="0003044D"/>
    <w:rsid w:val="00031871"/>
    <w:rsid w:val="00032856"/>
    <w:rsid w:val="00033806"/>
    <w:rsid w:val="00034933"/>
    <w:rsid w:val="000401B2"/>
    <w:rsid w:val="000434C3"/>
    <w:rsid w:val="00043A4B"/>
    <w:rsid w:val="000526A6"/>
    <w:rsid w:val="000614A9"/>
    <w:rsid w:val="00063A3A"/>
    <w:rsid w:val="00073152"/>
    <w:rsid w:val="00076CF5"/>
    <w:rsid w:val="0007779A"/>
    <w:rsid w:val="00080300"/>
    <w:rsid w:val="00081A8F"/>
    <w:rsid w:val="00092A62"/>
    <w:rsid w:val="00093CF0"/>
    <w:rsid w:val="000A03C3"/>
    <w:rsid w:val="000A06C2"/>
    <w:rsid w:val="000A2422"/>
    <w:rsid w:val="000A3F71"/>
    <w:rsid w:val="000B076A"/>
    <w:rsid w:val="000B5A4D"/>
    <w:rsid w:val="000C1196"/>
    <w:rsid w:val="000C12A5"/>
    <w:rsid w:val="000C6E7C"/>
    <w:rsid w:val="000D17F7"/>
    <w:rsid w:val="000D1DF2"/>
    <w:rsid w:val="000D371C"/>
    <w:rsid w:val="000D45C5"/>
    <w:rsid w:val="000D4693"/>
    <w:rsid w:val="000D4BB8"/>
    <w:rsid w:val="000D68DE"/>
    <w:rsid w:val="000E0595"/>
    <w:rsid w:val="000E1060"/>
    <w:rsid w:val="000E21F1"/>
    <w:rsid w:val="000E34CA"/>
    <w:rsid w:val="000E4609"/>
    <w:rsid w:val="000E613A"/>
    <w:rsid w:val="000F02D9"/>
    <w:rsid w:val="000F3394"/>
    <w:rsid w:val="000F3E08"/>
    <w:rsid w:val="000F595D"/>
    <w:rsid w:val="00101951"/>
    <w:rsid w:val="00103D6C"/>
    <w:rsid w:val="00105644"/>
    <w:rsid w:val="00106646"/>
    <w:rsid w:val="00107DD1"/>
    <w:rsid w:val="00110880"/>
    <w:rsid w:val="00111731"/>
    <w:rsid w:val="001119A7"/>
    <w:rsid w:val="00112837"/>
    <w:rsid w:val="00113E38"/>
    <w:rsid w:val="0011698A"/>
    <w:rsid w:val="001207F0"/>
    <w:rsid w:val="0012123D"/>
    <w:rsid w:val="00121746"/>
    <w:rsid w:val="00122A36"/>
    <w:rsid w:val="001242C9"/>
    <w:rsid w:val="0012463B"/>
    <w:rsid w:val="00124AEE"/>
    <w:rsid w:val="00126E88"/>
    <w:rsid w:val="0013302A"/>
    <w:rsid w:val="001341E7"/>
    <w:rsid w:val="00135CA8"/>
    <w:rsid w:val="00140015"/>
    <w:rsid w:val="00140511"/>
    <w:rsid w:val="0014079B"/>
    <w:rsid w:val="00140FAE"/>
    <w:rsid w:val="001412D6"/>
    <w:rsid w:val="00144552"/>
    <w:rsid w:val="0014780E"/>
    <w:rsid w:val="00150287"/>
    <w:rsid w:val="001503D0"/>
    <w:rsid w:val="00151741"/>
    <w:rsid w:val="00151A80"/>
    <w:rsid w:val="001553AA"/>
    <w:rsid w:val="0016148C"/>
    <w:rsid w:val="00164525"/>
    <w:rsid w:val="001667C4"/>
    <w:rsid w:val="00170B04"/>
    <w:rsid w:val="00175454"/>
    <w:rsid w:val="001821D9"/>
    <w:rsid w:val="00187F13"/>
    <w:rsid w:val="00187FE5"/>
    <w:rsid w:val="00190659"/>
    <w:rsid w:val="00192AEA"/>
    <w:rsid w:val="00193687"/>
    <w:rsid w:val="00195B21"/>
    <w:rsid w:val="001A2812"/>
    <w:rsid w:val="001A30E0"/>
    <w:rsid w:val="001A5C60"/>
    <w:rsid w:val="001A6E76"/>
    <w:rsid w:val="001B1174"/>
    <w:rsid w:val="001B3F02"/>
    <w:rsid w:val="001B6EE0"/>
    <w:rsid w:val="001C0599"/>
    <w:rsid w:val="001C0C95"/>
    <w:rsid w:val="001C4841"/>
    <w:rsid w:val="001C72F8"/>
    <w:rsid w:val="001D1ADB"/>
    <w:rsid w:val="001D2AEE"/>
    <w:rsid w:val="001D5B47"/>
    <w:rsid w:val="001D6757"/>
    <w:rsid w:val="001E4295"/>
    <w:rsid w:val="001E68DF"/>
    <w:rsid w:val="001F1498"/>
    <w:rsid w:val="001F4187"/>
    <w:rsid w:val="001F4504"/>
    <w:rsid w:val="001F4622"/>
    <w:rsid w:val="001F5F12"/>
    <w:rsid w:val="002010D8"/>
    <w:rsid w:val="002033AB"/>
    <w:rsid w:val="002071BD"/>
    <w:rsid w:val="00214E5C"/>
    <w:rsid w:val="002152E9"/>
    <w:rsid w:val="00216BC0"/>
    <w:rsid w:val="002221C8"/>
    <w:rsid w:val="00224B7C"/>
    <w:rsid w:val="00231E6E"/>
    <w:rsid w:val="002335D7"/>
    <w:rsid w:val="00236DAE"/>
    <w:rsid w:val="00240618"/>
    <w:rsid w:val="00241FD2"/>
    <w:rsid w:val="00250BF9"/>
    <w:rsid w:val="0025531D"/>
    <w:rsid w:val="002568E4"/>
    <w:rsid w:val="00256BDC"/>
    <w:rsid w:val="0026042B"/>
    <w:rsid w:val="0026213F"/>
    <w:rsid w:val="00263014"/>
    <w:rsid w:val="00267587"/>
    <w:rsid w:val="00267A81"/>
    <w:rsid w:val="00267DC3"/>
    <w:rsid w:val="0027160C"/>
    <w:rsid w:val="00273C46"/>
    <w:rsid w:val="00273EB4"/>
    <w:rsid w:val="00275D12"/>
    <w:rsid w:val="0027681D"/>
    <w:rsid w:val="00276B3B"/>
    <w:rsid w:val="00277C54"/>
    <w:rsid w:val="00290914"/>
    <w:rsid w:val="00293764"/>
    <w:rsid w:val="002949D6"/>
    <w:rsid w:val="00295272"/>
    <w:rsid w:val="00295C44"/>
    <w:rsid w:val="002968E4"/>
    <w:rsid w:val="002A64C5"/>
    <w:rsid w:val="002A7D00"/>
    <w:rsid w:val="002B0C13"/>
    <w:rsid w:val="002B240A"/>
    <w:rsid w:val="002C0E8C"/>
    <w:rsid w:val="002C388D"/>
    <w:rsid w:val="002C39B5"/>
    <w:rsid w:val="002C3D22"/>
    <w:rsid w:val="002C44EC"/>
    <w:rsid w:val="002C6000"/>
    <w:rsid w:val="002D680D"/>
    <w:rsid w:val="002E39A0"/>
    <w:rsid w:val="002E3E37"/>
    <w:rsid w:val="002F21F1"/>
    <w:rsid w:val="002F23E8"/>
    <w:rsid w:val="002F6B0F"/>
    <w:rsid w:val="002F7DDB"/>
    <w:rsid w:val="00301A9C"/>
    <w:rsid w:val="00301FD3"/>
    <w:rsid w:val="00305E25"/>
    <w:rsid w:val="00307F9F"/>
    <w:rsid w:val="00313D27"/>
    <w:rsid w:val="003143BA"/>
    <w:rsid w:val="0031708E"/>
    <w:rsid w:val="0032008B"/>
    <w:rsid w:val="003220B2"/>
    <w:rsid w:val="00326EA3"/>
    <w:rsid w:val="00327083"/>
    <w:rsid w:val="00327E97"/>
    <w:rsid w:val="00330EF0"/>
    <w:rsid w:val="0033233C"/>
    <w:rsid w:val="00334FF0"/>
    <w:rsid w:val="00340008"/>
    <w:rsid w:val="00340629"/>
    <w:rsid w:val="003413AE"/>
    <w:rsid w:val="00343FAB"/>
    <w:rsid w:val="003476E0"/>
    <w:rsid w:val="00353C53"/>
    <w:rsid w:val="00355544"/>
    <w:rsid w:val="00357653"/>
    <w:rsid w:val="003612FE"/>
    <w:rsid w:val="0036160B"/>
    <w:rsid w:val="0036278E"/>
    <w:rsid w:val="00364EE0"/>
    <w:rsid w:val="003702AD"/>
    <w:rsid w:val="00373171"/>
    <w:rsid w:val="00374DE7"/>
    <w:rsid w:val="00375E8C"/>
    <w:rsid w:val="00376410"/>
    <w:rsid w:val="003819B7"/>
    <w:rsid w:val="00381B19"/>
    <w:rsid w:val="00382117"/>
    <w:rsid w:val="00382A82"/>
    <w:rsid w:val="00384043"/>
    <w:rsid w:val="00385841"/>
    <w:rsid w:val="00386254"/>
    <w:rsid w:val="00386D32"/>
    <w:rsid w:val="00391E46"/>
    <w:rsid w:val="003931CC"/>
    <w:rsid w:val="00393869"/>
    <w:rsid w:val="00393974"/>
    <w:rsid w:val="00393F67"/>
    <w:rsid w:val="00394FE8"/>
    <w:rsid w:val="00395568"/>
    <w:rsid w:val="003A0E2D"/>
    <w:rsid w:val="003A24DE"/>
    <w:rsid w:val="003A46E3"/>
    <w:rsid w:val="003A58A4"/>
    <w:rsid w:val="003B4254"/>
    <w:rsid w:val="003B7976"/>
    <w:rsid w:val="003C64B7"/>
    <w:rsid w:val="003D1D96"/>
    <w:rsid w:val="003D3F1E"/>
    <w:rsid w:val="003E4471"/>
    <w:rsid w:val="003E525C"/>
    <w:rsid w:val="003F39FB"/>
    <w:rsid w:val="004016B6"/>
    <w:rsid w:val="00404C91"/>
    <w:rsid w:val="004058D1"/>
    <w:rsid w:val="004113EB"/>
    <w:rsid w:val="00412BAD"/>
    <w:rsid w:val="00413AB9"/>
    <w:rsid w:val="004142E2"/>
    <w:rsid w:val="004151A0"/>
    <w:rsid w:val="00416B4D"/>
    <w:rsid w:val="00416D52"/>
    <w:rsid w:val="004170EF"/>
    <w:rsid w:val="00420112"/>
    <w:rsid w:val="00421880"/>
    <w:rsid w:val="00422282"/>
    <w:rsid w:val="00425A49"/>
    <w:rsid w:val="00425AAE"/>
    <w:rsid w:val="004335C0"/>
    <w:rsid w:val="004346A1"/>
    <w:rsid w:val="00437634"/>
    <w:rsid w:val="00443495"/>
    <w:rsid w:val="004444CD"/>
    <w:rsid w:val="00450A86"/>
    <w:rsid w:val="00451005"/>
    <w:rsid w:val="00451EB3"/>
    <w:rsid w:val="004549E0"/>
    <w:rsid w:val="004561C0"/>
    <w:rsid w:val="00460009"/>
    <w:rsid w:val="00460B47"/>
    <w:rsid w:val="00461D02"/>
    <w:rsid w:val="004629FD"/>
    <w:rsid w:val="00463F19"/>
    <w:rsid w:val="00463F54"/>
    <w:rsid w:val="00464D03"/>
    <w:rsid w:val="00466531"/>
    <w:rsid w:val="0047092C"/>
    <w:rsid w:val="00472960"/>
    <w:rsid w:val="00472B5C"/>
    <w:rsid w:val="004733D3"/>
    <w:rsid w:val="00473D4B"/>
    <w:rsid w:val="00475849"/>
    <w:rsid w:val="00477A6E"/>
    <w:rsid w:val="00482D10"/>
    <w:rsid w:val="00482F91"/>
    <w:rsid w:val="00483CE6"/>
    <w:rsid w:val="00487C52"/>
    <w:rsid w:val="00491B7E"/>
    <w:rsid w:val="004A1E84"/>
    <w:rsid w:val="004A2140"/>
    <w:rsid w:val="004A7628"/>
    <w:rsid w:val="004A7B4B"/>
    <w:rsid w:val="004B0FBA"/>
    <w:rsid w:val="004B5095"/>
    <w:rsid w:val="004B59EB"/>
    <w:rsid w:val="004B7418"/>
    <w:rsid w:val="004C044A"/>
    <w:rsid w:val="004C1D2C"/>
    <w:rsid w:val="004C31BB"/>
    <w:rsid w:val="004C3F1F"/>
    <w:rsid w:val="004C5085"/>
    <w:rsid w:val="004C7575"/>
    <w:rsid w:val="004D1249"/>
    <w:rsid w:val="004D1CE6"/>
    <w:rsid w:val="004D35AA"/>
    <w:rsid w:val="004D420C"/>
    <w:rsid w:val="004D43D5"/>
    <w:rsid w:val="004E4F64"/>
    <w:rsid w:val="004E6954"/>
    <w:rsid w:val="004F069B"/>
    <w:rsid w:val="004F1316"/>
    <w:rsid w:val="004F3B75"/>
    <w:rsid w:val="004F3E4A"/>
    <w:rsid w:val="004F6CB3"/>
    <w:rsid w:val="005007CC"/>
    <w:rsid w:val="005048C5"/>
    <w:rsid w:val="0050535C"/>
    <w:rsid w:val="00510DC0"/>
    <w:rsid w:val="00515D8E"/>
    <w:rsid w:val="005160EE"/>
    <w:rsid w:val="005177AA"/>
    <w:rsid w:val="00521473"/>
    <w:rsid w:val="005271BD"/>
    <w:rsid w:val="00527453"/>
    <w:rsid w:val="00530115"/>
    <w:rsid w:val="0053127E"/>
    <w:rsid w:val="00533426"/>
    <w:rsid w:val="0053353D"/>
    <w:rsid w:val="00540C10"/>
    <w:rsid w:val="005420F3"/>
    <w:rsid w:val="00542262"/>
    <w:rsid w:val="00544E32"/>
    <w:rsid w:val="00547BC4"/>
    <w:rsid w:val="005503EF"/>
    <w:rsid w:val="00551620"/>
    <w:rsid w:val="0055275D"/>
    <w:rsid w:val="00552A01"/>
    <w:rsid w:val="00553F3B"/>
    <w:rsid w:val="00557000"/>
    <w:rsid w:val="00560665"/>
    <w:rsid w:val="00560AC6"/>
    <w:rsid w:val="00562FD6"/>
    <w:rsid w:val="00565286"/>
    <w:rsid w:val="00566947"/>
    <w:rsid w:val="0056703A"/>
    <w:rsid w:val="005676BE"/>
    <w:rsid w:val="00572007"/>
    <w:rsid w:val="005760E7"/>
    <w:rsid w:val="00580887"/>
    <w:rsid w:val="00584821"/>
    <w:rsid w:val="00584A8F"/>
    <w:rsid w:val="0058530F"/>
    <w:rsid w:val="0059079B"/>
    <w:rsid w:val="0059212D"/>
    <w:rsid w:val="005A1821"/>
    <w:rsid w:val="005A422B"/>
    <w:rsid w:val="005A5D30"/>
    <w:rsid w:val="005A6184"/>
    <w:rsid w:val="005B00A1"/>
    <w:rsid w:val="005B26D6"/>
    <w:rsid w:val="005B31A3"/>
    <w:rsid w:val="005B4CA6"/>
    <w:rsid w:val="005B4F70"/>
    <w:rsid w:val="005B62FF"/>
    <w:rsid w:val="005B7E60"/>
    <w:rsid w:val="005C286B"/>
    <w:rsid w:val="005C5785"/>
    <w:rsid w:val="005C7C77"/>
    <w:rsid w:val="005D1670"/>
    <w:rsid w:val="005D3954"/>
    <w:rsid w:val="005D5EB1"/>
    <w:rsid w:val="005E2253"/>
    <w:rsid w:val="005E2C7E"/>
    <w:rsid w:val="005E492F"/>
    <w:rsid w:val="005E4A9F"/>
    <w:rsid w:val="005E4F76"/>
    <w:rsid w:val="005E5B62"/>
    <w:rsid w:val="005E6D67"/>
    <w:rsid w:val="005F0F28"/>
    <w:rsid w:val="005F107B"/>
    <w:rsid w:val="005F4779"/>
    <w:rsid w:val="005F5CF2"/>
    <w:rsid w:val="005F74FA"/>
    <w:rsid w:val="00604024"/>
    <w:rsid w:val="00606E98"/>
    <w:rsid w:val="00607EC0"/>
    <w:rsid w:val="00610EA2"/>
    <w:rsid w:val="00613716"/>
    <w:rsid w:val="00614952"/>
    <w:rsid w:val="00616F95"/>
    <w:rsid w:val="0061742F"/>
    <w:rsid w:val="006214F3"/>
    <w:rsid w:val="00622181"/>
    <w:rsid w:val="00624C45"/>
    <w:rsid w:val="00626C91"/>
    <w:rsid w:val="00634B8A"/>
    <w:rsid w:val="00635FFE"/>
    <w:rsid w:val="00636E0A"/>
    <w:rsid w:val="0064062A"/>
    <w:rsid w:val="00647E57"/>
    <w:rsid w:val="006508A0"/>
    <w:rsid w:val="00650B63"/>
    <w:rsid w:val="006554FC"/>
    <w:rsid w:val="00665061"/>
    <w:rsid w:val="006659C8"/>
    <w:rsid w:val="006661D5"/>
    <w:rsid w:val="00666F62"/>
    <w:rsid w:val="00666FEC"/>
    <w:rsid w:val="006726F2"/>
    <w:rsid w:val="006732D7"/>
    <w:rsid w:val="006738C8"/>
    <w:rsid w:val="0067552D"/>
    <w:rsid w:val="00676FA3"/>
    <w:rsid w:val="0068363F"/>
    <w:rsid w:val="006836A3"/>
    <w:rsid w:val="00684C26"/>
    <w:rsid w:val="00685A10"/>
    <w:rsid w:val="006864A2"/>
    <w:rsid w:val="00692A36"/>
    <w:rsid w:val="00693521"/>
    <w:rsid w:val="0069580F"/>
    <w:rsid w:val="00695811"/>
    <w:rsid w:val="006971EB"/>
    <w:rsid w:val="006A19E0"/>
    <w:rsid w:val="006A3234"/>
    <w:rsid w:val="006A7BF0"/>
    <w:rsid w:val="006B02CA"/>
    <w:rsid w:val="006B0C7B"/>
    <w:rsid w:val="006B1AB7"/>
    <w:rsid w:val="006B63FA"/>
    <w:rsid w:val="006C44B7"/>
    <w:rsid w:val="006C4942"/>
    <w:rsid w:val="006C54FE"/>
    <w:rsid w:val="006C562C"/>
    <w:rsid w:val="006C6C32"/>
    <w:rsid w:val="006C7AEF"/>
    <w:rsid w:val="006D0AB0"/>
    <w:rsid w:val="006D0BED"/>
    <w:rsid w:val="006D28E6"/>
    <w:rsid w:val="006D3398"/>
    <w:rsid w:val="006D4AEF"/>
    <w:rsid w:val="006E0973"/>
    <w:rsid w:val="006E394A"/>
    <w:rsid w:val="006E3EBA"/>
    <w:rsid w:val="006E6A18"/>
    <w:rsid w:val="006E6DE3"/>
    <w:rsid w:val="006F0312"/>
    <w:rsid w:val="006F0D3B"/>
    <w:rsid w:val="006F1888"/>
    <w:rsid w:val="006F29B5"/>
    <w:rsid w:val="006F2AA6"/>
    <w:rsid w:val="006F622F"/>
    <w:rsid w:val="00702106"/>
    <w:rsid w:val="007026CB"/>
    <w:rsid w:val="00702836"/>
    <w:rsid w:val="00702D22"/>
    <w:rsid w:val="00705916"/>
    <w:rsid w:val="00705D52"/>
    <w:rsid w:val="00720C2C"/>
    <w:rsid w:val="00724366"/>
    <w:rsid w:val="007248F6"/>
    <w:rsid w:val="007248F8"/>
    <w:rsid w:val="007258F9"/>
    <w:rsid w:val="007263F7"/>
    <w:rsid w:val="00730F7F"/>
    <w:rsid w:val="00731221"/>
    <w:rsid w:val="00732B40"/>
    <w:rsid w:val="00732F60"/>
    <w:rsid w:val="0073360A"/>
    <w:rsid w:val="00735858"/>
    <w:rsid w:val="00736D38"/>
    <w:rsid w:val="00737D25"/>
    <w:rsid w:val="007441AB"/>
    <w:rsid w:val="00751FDC"/>
    <w:rsid w:val="00757587"/>
    <w:rsid w:val="00763C43"/>
    <w:rsid w:val="00764EFC"/>
    <w:rsid w:val="00767B7E"/>
    <w:rsid w:val="00767EE4"/>
    <w:rsid w:val="0077308F"/>
    <w:rsid w:val="007747B4"/>
    <w:rsid w:val="0077677B"/>
    <w:rsid w:val="00776AEC"/>
    <w:rsid w:val="007770C7"/>
    <w:rsid w:val="007927A1"/>
    <w:rsid w:val="00792821"/>
    <w:rsid w:val="00797917"/>
    <w:rsid w:val="007A0D78"/>
    <w:rsid w:val="007A2AE0"/>
    <w:rsid w:val="007A3164"/>
    <w:rsid w:val="007A3200"/>
    <w:rsid w:val="007A5068"/>
    <w:rsid w:val="007B1278"/>
    <w:rsid w:val="007B73C2"/>
    <w:rsid w:val="007C30EE"/>
    <w:rsid w:val="007C40D0"/>
    <w:rsid w:val="007C51F4"/>
    <w:rsid w:val="007D3597"/>
    <w:rsid w:val="007D58D9"/>
    <w:rsid w:val="007D63FF"/>
    <w:rsid w:val="007D7EDF"/>
    <w:rsid w:val="007E1C63"/>
    <w:rsid w:val="007E516E"/>
    <w:rsid w:val="007E7CD8"/>
    <w:rsid w:val="007F0ED6"/>
    <w:rsid w:val="007F2A16"/>
    <w:rsid w:val="007F66DE"/>
    <w:rsid w:val="00800184"/>
    <w:rsid w:val="00800C76"/>
    <w:rsid w:val="00801918"/>
    <w:rsid w:val="0080467B"/>
    <w:rsid w:val="00804A38"/>
    <w:rsid w:val="008059B9"/>
    <w:rsid w:val="00806D5F"/>
    <w:rsid w:val="0081146D"/>
    <w:rsid w:val="008135A4"/>
    <w:rsid w:val="008146FE"/>
    <w:rsid w:val="0081536F"/>
    <w:rsid w:val="00816608"/>
    <w:rsid w:val="00821459"/>
    <w:rsid w:val="00822E7D"/>
    <w:rsid w:val="00827A1A"/>
    <w:rsid w:val="00831C39"/>
    <w:rsid w:val="00837EB4"/>
    <w:rsid w:val="00841714"/>
    <w:rsid w:val="00846FF4"/>
    <w:rsid w:val="008472C5"/>
    <w:rsid w:val="00847700"/>
    <w:rsid w:val="00854C6D"/>
    <w:rsid w:val="008563BE"/>
    <w:rsid w:val="00860EEF"/>
    <w:rsid w:val="00861247"/>
    <w:rsid w:val="00861911"/>
    <w:rsid w:val="00863065"/>
    <w:rsid w:val="00866821"/>
    <w:rsid w:val="00867EAE"/>
    <w:rsid w:val="00872331"/>
    <w:rsid w:val="00873CF2"/>
    <w:rsid w:val="00875543"/>
    <w:rsid w:val="00875CEE"/>
    <w:rsid w:val="00876096"/>
    <w:rsid w:val="00881A11"/>
    <w:rsid w:val="00881A7B"/>
    <w:rsid w:val="0088371C"/>
    <w:rsid w:val="0088426E"/>
    <w:rsid w:val="008857F7"/>
    <w:rsid w:val="008910A9"/>
    <w:rsid w:val="00892278"/>
    <w:rsid w:val="008952DA"/>
    <w:rsid w:val="0089543C"/>
    <w:rsid w:val="00895608"/>
    <w:rsid w:val="008958A0"/>
    <w:rsid w:val="00897282"/>
    <w:rsid w:val="0089778A"/>
    <w:rsid w:val="008A223C"/>
    <w:rsid w:val="008A3355"/>
    <w:rsid w:val="008A423E"/>
    <w:rsid w:val="008A5C2C"/>
    <w:rsid w:val="008A7005"/>
    <w:rsid w:val="008B021A"/>
    <w:rsid w:val="008B2AD4"/>
    <w:rsid w:val="008B2B23"/>
    <w:rsid w:val="008B2EC7"/>
    <w:rsid w:val="008B3881"/>
    <w:rsid w:val="008B731F"/>
    <w:rsid w:val="008C4450"/>
    <w:rsid w:val="008D1482"/>
    <w:rsid w:val="008D2A80"/>
    <w:rsid w:val="008D384F"/>
    <w:rsid w:val="008D43E4"/>
    <w:rsid w:val="008D50E9"/>
    <w:rsid w:val="008D5A7F"/>
    <w:rsid w:val="008D7B38"/>
    <w:rsid w:val="008E2508"/>
    <w:rsid w:val="008E3A7C"/>
    <w:rsid w:val="008E4AA4"/>
    <w:rsid w:val="008E57F6"/>
    <w:rsid w:val="008F0FC2"/>
    <w:rsid w:val="008F2503"/>
    <w:rsid w:val="008F3B3F"/>
    <w:rsid w:val="008F3F50"/>
    <w:rsid w:val="008F465E"/>
    <w:rsid w:val="008F4D60"/>
    <w:rsid w:val="008F5D33"/>
    <w:rsid w:val="008F7749"/>
    <w:rsid w:val="00901DC3"/>
    <w:rsid w:val="009024CE"/>
    <w:rsid w:val="0090336A"/>
    <w:rsid w:val="00904893"/>
    <w:rsid w:val="009058ED"/>
    <w:rsid w:val="00905FD0"/>
    <w:rsid w:val="00913D01"/>
    <w:rsid w:val="00914B45"/>
    <w:rsid w:val="009152B2"/>
    <w:rsid w:val="00916669"/>
    <w:rsid w:val="00917CDE"/>
    <w:rsid w:val="00920D63"/>
    <w:rsid w:val="009218CF"/>
    <w:rsid w:val="009242A9"/>
    <w:rsid w:val="0092437F"/>
    <w:rsid w:val="00926187"/>
    <w:rsid w:val="009302BD"/>
    <w:rsid w:val="00936191"/>
    <w:rsid w:val="00940D18"/>
    <w:rsid w:val="009419FB"/>
    <w:rsid w:val="00942A08"/>
    <w:rsid w:val="00943BCA"/>
    <w:rsid w:val="00944A29"/>
    <w:rsid w:val="009458C3"/>
    <w:rsid w:val="0095250A"/>
    <w:rsid w:val="00955A00"/>
    <w:rsid w:val="0095600B"/>
    <w:rsid w:val="009606F1"/>
    <w:rsid w:val="00960CD6"/>
    <w:rsid w:val="00961526"/>
    <w:rsid w:val="00962ABD"/>
    <w:rsid w:val="00970235"/>
    <w:rsid w:val="009710C5"/>
    <w:rsid w:val="009735AA"/>
    <w:rsid w:val="0098022C"/>
    <w:rsid w:val="00981263"/>
    <w:rsid w:val="009825BF"/>
    <w:rsid w:val="00987A1A"/>
    <w:rsid w:val="009927F8"/>
    <w:rsid w:val="009929DC"/>
    <w:rsid w:val="0099357C"/>
    <w:rsid w:val="00994FA5"/>
    <w:rsid w:val="00996EE2"/>
    <w:rsid w:val="0099772D"/>
    <w:rsid w:val="009A1E70"/>
    <w:rsid w:val="009A35E8"/>
    <w:rsid w:val="009A513F"/>
    <w:rsid w:val="009B1E98"/>
    <w:rsid w:val="009B7910"/>
    <w:rsid w:val="009C15EA"/>
    <w:rsid w:val="009C2858"/>
    <w:rsid w:val="009C3BD8"/>
    <w:rsid w:val="009C5549"/>
    <w:rsid w:val="009C64D6"/>
    <w:rsid w:val="009D6815"/>
    <w:rsid w:val="009D7A51"/>
    <w:rsid w:val="009D7E77"/>
    <w:rsid w:val="009E19FF"/>
    <w:rsid w:val="009E1D24"/>
    <w:rsid w:val="009E3DDB"/>
    <w:rsid w:val="009E6734"/>
    <w:rsid w:val="009E7B27"/>
    <w:rsid w:val="009E7D3E"/>
    <w:rsid w:val="009F051A"/>
    <w:rsid w:val="009F0554"/>
    <w:rsid w:val="009F1692"/>
    <w:rsid w:val="009F171E"/>
    <w:rsid w:val="009F22FD"/>
    <w:rsid w:val="009F7617"/>
    <w:rsid w:val="009F78D8"/>
    <w:rsid w:val="009F7985"/>
    <w:rsid w:val="00A00997"/>
    <w:rsid w:val="00A0126A"/>
    <w:rsid w:val="00A03227"/>
    <w:rsid w:val="00A05C10"/>
    <w:rsid w:val="00A06A7B"/>
    <w:rsid w:val="00A06FC0"/>
    <w:rsid w:val="00A10219"/>
    <w:rsid w:val="00A110D9"/>
    <w:rsid w:val="00A11E0E"/>
    <w:rsid w:val="00A1697A"/>
    <w:rsid w:val="00A20BC3"/>
    <w:rsid w:val="00A22053"/>
    <w:rsid w:val="00A22EF2"/>
    <w:rsid w:val="00A23F38"/>
    <w:rsid w:val="00A251D0"/>
    <w:rsid w:val="00A254DC"/>
    <w:rsid w:val="00A25EBA"/>
    <w:rsid w:val="00A26956"/>
    <w:rsid w:val="00A27B23"/>
    <w:rsid w:val="00A314CE"/>
    <w:rsid w:val="00A3186B"/>
    <w:rsid w:val="00A320DE"/>
    <w:rsid w:val="00A4086E"/>
    <w:rsid w:val="00A420EB"/>
    <w:rsid w:val="00A42749"/>
    <w:rsid w:val="00A44C31"/>
    <w:rsid w:val="00A547A0"/>
    <w:rsid w:val="00A57BE9"/>
    <w:rsid w:val="00A60099"/>
    <w:rsid w:val="00A63287"/>
    <w:rsid w:val="00A638D0"/>
    <w:rsid w:val="00A7101A"/>
    <w:rsid w:val="00A81289"/>
    <w:rsid w:val="00A82525"/>
    <w:rsid w:val="00A83FC1"/>
    <w:rsid w:val="00A84500"/>
    <w:rsid w:val="00A90646"/>
    <w:rsid w:val="00A9064A"/>
    <w:rsid w:val="00A91A96"/>
    <w:rsid w:val="00A93553"/>
    <w:rsid w:val="00A94337"/>
    <w:rsid w:val="00A9508E"/>
    <w:rsid w:val="00A97C59"/>
    <w:rsid w:val="00A97CCD"/>
    <w:rsid w:val="00AA102B"/>
    <w:rsid w:val="00AA1A83"/>
    <w:rsid w:val="00AA2A3A"/>
    <w:rsid w:val="00AA37F3"/>
    <w:rsid w:val="00AA4044"/>
    <w:rsid w:val="00AA6266"/>
    <w:rsid w:val="00AA7CC3"/>
    <w:rsid w:val="00AA7FA7"/>
    <w:rsid w:val="00AB01E7"/>
    <w:rsid w:val="00AB0EA2"/>
    <w:rsid w:val="00AB257D"/>
    <w:rsid w:val="00AB2C8E"/>
    <w:rsid w:val="00AB6920"/>
    <w:rsid w:val="00AB6CF3"/>
    <w:rsid w:val="00AC49B6"/>
    <w:rsid w:val="00AC697C"/>
    <w:rsid w:val="00AC7159"/>
    <w:rsid w:val="00AD2E70"/>
    <w:rsid w:val="00AD6D9B"/>
    <w:rsid w:val="00AE0359"/>
    <w:rsid w:val="00AE0FEB"/>
    <w:rsid w:val="00AE1D14"/>
    <w:rsid w:val="00AE6AA2"/>
    <w:rsid w:val="00AE7C40"/>
    <w:rsid w:val="00AF3E5A"/>
    <w:rsid w:val="00AF43A8"/>
    <w:rsid w:val="00AF6172"/>
    <w:rsid w:val="00B017C7"/>
    <w:rsid w:val="00B01CB6"/>
    <w:rsid w:val="00B01F42"/>
    <w:rsid w:val="00B03079"/>
    <w:rsid w:val="00B04722"/>
    <w:rsid w:val="00B04FD7"/>
    <w:rsid w:val="00B1094D"/>
    <w:rsid w:val="00B140AB"/>
    <w:rsid w:val="00B14EB8"/>
    <w:rsid w:val="00B17EEF"/>
    <w:rsid w:val="00B250E0"/>
    <w:rsid w:val="00B25CE1"/>
    <w:rsid w:val="00B32950"/>
    <w:rsid w:val="00B40815"/>
    <w:rsid w:val="00B41DF7"/>
    <w:rsid w:val="00B42242"/>
    <w:rsid w:val="00B42DEF"/>
    <w:rsid w:val="00B43522"/>
    <w:rsid w:val="00B436C6"/>
    <w:rsid w:val="00B43912"/>
    <w:rsid w:val="00B43E75"/>
    <w:rsid w:val="00B474F1"/>
    <w:rsid w:val="00B47CC7"/>
    <w:rsid w:val="00B50D1C"/>
    <w:rsid w:val="00B609CA"/>
    <w:rsid w:val="00B6209A"/>
    <w:rsid w:val="00B6565C"/>
    <w:rsid w:val="00B66EC1"/>
    <w:rsid w:val="00B675C0"/>
    <w:rsid w:val="00B713DE"/>
    <w:rsid w:val="00B7221E"/>
    <w:rsid w:val="00B7279C"/>
    <w:rsid w:val="00B75103"/>
    <w:rsid w:val="00B81289"/>
    <w:rsid w:val="00B8694E"/>
    <w:rsid w:val="00B86EAE"/>
    <w:rsid w:val="00B9450D"/>
    <w:rsid w:val="00B9648E"/>
    <w:rsid w:val="00B96E8D"/>
    <w:rsid w:val="00B96F1B"/>
    <w:rsid w:val="00BA4AAF"/>
    <w:rsid w:val="00BA629F"/>
    <w:rsid w:val="00BA76B0"/>
    <w:rsid w:val="00BB1B69"/>
    <w:rsid w:val="00BB2FE0"/>
    <w:rsid w:val="00BB35D4"/>
    <w:rsid w:val="00BB6663"/>
    <w:rsid w:val="00BC14E2"/>
    <w:rsid w:val="00BC476F"/>
    <w:rsid w:val="00BC5335"/>
    <w:rsid w:val="00BC6568"/>
    <w:rsid w:val="00BC7D4D"/>
    <w:rsid w:val="00BC7E17"/>
    <w:rsid w:val="00BD0B39"/>
    <w:rsid w:val="00BD291A"/>
    <w:rsid w:val="00BD498A"/>
    <w:rsid w:val="00BD6DE8"/>
    <w:rsid w:val="00BE29DE"/>
    <w:rsid w:val="00BE3888"/>
    <w:rsid w:val="00BE7D45"/>
    <w:rsid w:val="00BF047C"/>
    <w:rsid w:val="00BF1E41"/>
    <w:rsid w:val="00BF55B5"/>
    <w:rsid w:val="00C127FD"/>
    <w:rsid w:val="00C1396C"/>
    <w:rsid w:val="00C21DBD"/>
    <w:rsid w:val="00C22568"/>
    <w:rsid w:val="00C2496F"/>
    <w:rsid w:val="00C25E98"/>
    <w:rsid w:val="00C27A08"/>
    <w:rsid w:val="00C402BF"/>
    <w:rsid w:val="00C40E48"/>
    <w:rsid w:val="00C45CD5"/>
    <w:rsid w:val="00C50408"/>
    <w:rsid w:val="00C50439"/>
    <w:rsid w:val="00C50496"/>
    <w:rsid w:val="00C53349"/>
    <w:rsid w:val="00C54720"/>
    <w:rsid w:val="00C553E1"/>
    <w:rsid w:val="00C55567"/>
    <w:rsid w:val="00C55716"/>
    <w:rsid w:val="00C57D00"/>
    <w:rsid w:val="00C61D1A"/>
    <w:rsid w:val="00C62030"/>
    <w:rsid w:val="00C62E00"/>
    <w:rsid w:val="00C63215"/>
    <w:rsid w:val="00C64351"/>
    <w:rsid w:val="00C643FB"/>
    <w:rsid w:val="00C64D56"/>
    <w:rsid w:val="00C66470"/>
    <w:rsid w:val="00C7545F"/>
    <w:rsid w:val="00C8195B"/>
    <w:rsid w:val="00C86CAD"/>
    <w:rsid w:val="00C8789C"/>
    <w:rsid w:val="00C87B3A"/>
    <w:rsid w:val="00C900CA"/>
    <w:rsid w:val="00C926E5"/>
    <w:rsid w:val="00C9291A"/>
    <w:rsid w:val="00C95E3C"/>
    <w:rsid w:val="00CA10CC"/>
    <w:rsid w:val="00CA342D"/>
    <w:rsid w:val="00CA3685"/>
    <w:rsid w:val="00CA4ACE"/>
    <w:rsid w:val="00CA6A2F"/>
    <w:rsid w:val="00CA75F1"/>
    <w:rsid w:val="00CA7F75"/>
    <w:rsid w:val="00CB0456"/>
    <w:rsid w:val="00CB1B13"/>
    <w:rsid w:val="00CB5540"/>
    <w:rsid w:val="00CB5E9D"/>
    <w:rsid w:val="00CB67ED"/>
    <w:rsid w:val="00CB76D5"/>
    <w:rsid w:val="00CC0C3E"/>
    <w:rsid w:val="00CD2AE3"/>
    <w:rsid w:val="00CD34FD"/>
    <w:rsid w:val="00CD4518"/>
    <w:rsid w:val="00CD6DF1"/>
    <w:rsid w:val="00CE1810"/>
    <w:rsid w:val="00CE7FDD"/>
    <w:rsid w:val="00CF1DC9"/>
    <w:rsid w:val="00CF52E1"/>
    <w:rsid w:val="00D02A87"/>
    <w:rsid w:val="00D03433"/>
    <w:rsid w:val="00D03A56"/>
    <w:rsid w:val="00D139C9"/>
    <w:rsid w:val="00D14714"/>
    <w:rsid w:val="00D243EB"/>
    <w:rsid w:val="00D252B8"/>
    <w:rsid w:val="00D321F9"/>
    <w:rsid w:val="00D35D7B"/>
    <w:rsid w:val="00D44005"/>
    <w:rsid w:val="00D46CA8"/>
    <w:rsid w:val="00D47879"/>
    <w:rsid w:val="00D478B0"/>
    <w:rsid w:val="00D50BE7"/>
    <w:rsid w:val="00D50EF9"/>
    <w:rsid w:val="00D54240"/>
    <w:rsid w:val="00D543A0"/>
    <w:rsid w:val="00D54D86"/>
    <w:rsid w:val="00D567D9"/>
    <w:rsid w:val="00D63296"/>
    <w:rsid w:val="00D70198"/>
    <w:rsid w:val="00D71C93"/>
    <w:rsid w:val="00D73085"/>
    <w:rsid w:val="00D75E11"/>
    <w:rsid w:val="00D77AA7"/>
    <w:rsid w:val="00D80C1F"/>
    <w:rsid w:val="00D85A37"/>
    <w:rsid w:val="00D86FE3"/>
    <w:rsid w:val="00D870B5"/>
    <w:rsid w:val="00D87398"/>
    <w:rsid w:val="00D87760"/>
    <w:rsid w:val="00D91BB8"/>
    <w:rsid w:val="00D9343F"/>
    <w:rsid w:val="00D94515"/>
    <w:rsid w:val="00D97A79"/>
    <w:rsid w:val="00DA2973"/>
    <w:rsid w:val="00DA2ECB"/>
    <w:rsid w:val="00DA3B43"/>
    <w:rsid w:val="00DA7CB6"/>
    <w:rsid w:val="00DB1E45"/>
    <w:rsid w:val="00DB3E09"/>
    <w:rsid w:val="00DB506F"/>
    <w:rsid w:val="00DB50C8"/>
    <w:rsid w:val="00DB667E"/>
    <w:rsid w:val="00DC4FB9"/>
    <w:rsid w:val="00DC5251"/>
    <w:rsid w:val="00DD2BA4"/>
    <w:rsid w:val="00DD4250"/>
    <w:rsid w:val="00DD51FB"/>
    <w:rsid w:val="00DD5621"/>
    <w:rsid w:val="00DE1C04"/>
    <w:rsid w:val="00DE5AE5"/>
    <w:rsid w:val="00DE5B8C"/>
    <w:rsid w:val="00DE6784"/>
    <w:rsid w:val="00DE772F"/>
    <w:rsid w:val="00DE7B7C"/>
    <w:rsid w:val="00DF18A0"/>
    <w:rsid w:val="00DF2205"/>
    <w:rsid w:val="00DF405C"/>
    <w:rsid w:val="00DF46FF"/>
    <w:rsid w:val="00DF4E59"/>
    <w:rsid w:val="00DF61FC"/>
    <w:rsid w:val="00DF63CD"/>
    <w:rsid w:val="00DF6A97"/>
    <w:rsid w:val="00DF7752"/>
    <w:rsid w:val="00DF7C10"/>
    <w:rsid w:val="00E039C5"/>
    <w:rsid w:val="00E0647A"/>
    <w:rsid w:val="00E06A6E"/>
    <w:rsid w:val="00E10C9C"/>
    <w:rsid w:val="00E11718"/>
    <w:rsid w:val="00E14049"/>
    <w:rsid w:val="00E14882"/>
    <w:rsid w:val="00E14D0A"/>
    <w:rsid w:val="00E152F1"/>
    <w:rsid w:val="00E15B65"/>
    <w:rsid w:val="00E17549"/>
    <w:rsid w:val="00E175CA"/>
    <w:rsid w:val="00E21594"/>
    <w:rsid w:val="00E21C0E"/>
    <w:rsid w:val="00E227EF"/>
    <w:rsid w:val="00E23117"/>
    <w:rsid w:val="00E251E6"/>
    <w:rsid w:val="00E25590"/>
    <w:rsid w:val="00E2666E"/>
    <w:rsid w:val="00E314A7"/>
    <w:rsid w:val="00E33253"/>
    <w:rsid w:val="00E36132"/>
    <w:rsid w:val="00E42B18"/>
    <w:rsid w:val="00E459C8"/>
    <w:rsid w:val="00E46B2C"/>
    <w:rsid w:val="00E46BD8"/>
    <w:rsid w:val="00E47293"/>
    <w:rsid w:val="00E5135A"/>
    <w:rsid w:val="00E56E19"/>
    <w:rsid w:val="00E601F5"/>
    <w:rsid w:val="00E619BD"/>
    <w:rsid w:val="00E62096"/>
    <w:rsid w:val="00E674D4"/>
    <w:rsid w:val="00E72994"/>
    <w:rsid w:val="00E80D59"/>
    <w:rsid w:val="00E83884"/>
    <w:rsid w:val="00E8691B"/>
    <w:rsid w:val="00E86F0E"/>
    <w:rsid w:val="00E900F9"/>
    <w:rsid w:val="00E913AF"/>
    <w:rsid w:val="00E91D49"/>
    <w:rsid w:val="00E92FED"/>
    <w:rsid w:val="00E94B1F"/>
    <w:rsid w:val="00E95E35"/>
    <w:rsid w:val="00E9651E"/>
    <w:rsid w:val="00E96715"/>
    <w:rsid w:val="00EA32D2"/>
    <w:rsid w:val="00EA41F3"/>
    <w:rsid w:val="00EA54BF"/>
    <w:rsid w:val="00EA5562"/>
    <w:rsid w:val="00EA686D"/>
    <w:rsid w:val="00EB1040"/>
    <w:rsid w:val="00EB1319"/>
    <w:rsid w:val="00EB20AA"/>
    <w:rsid w:val="00EB4821"/>
    <w:rsid w:val="00EB6902"/>
    <w:rsid w:val="00EC12C5"/>
    <w:rsid w:val="00EC24B6"/>
    <w:rsid w:val="00EC38D8"/>
    <w:rsid w:val="00EC6D43"/>
    <w:rsid w:val="00EC71F5"/>
    <w:rsid w:val="00ED0E9A"/>
    <w:rsid w:val="00ED3AE4"/>
    <w:rsid w:val="00EE2B1D"/>
    <w:rsid w:val="00EE4100"/>
    <w:rsid w:val="00EF0124"/>
    <w:rsid w:val="00EF0E48"/>
    <w:rsid w:val="00EF0E4B"/>
    <w:rsid w:val="00EF10B6"/>
    <w:rsid w:val="00EF19F3"/>
    <w:rsid w:val="00EF54A7"/>
    <w:rsid w:val="00F02268"/>
    <w:rsid w:val="00F03707"/>
    <w:rsid w:val="00F03FAD"/>
    <w:rsid w:val="00F06F53"/>
    <w:rsid w:val="00F11CF7"/>
    <w:rsid w:val="00F1369B"/>
    <w:rsid w:val="00F1579A"/>
    <w:rsid w:val="00F16877"/>
    <w:rsid w:val="00F2155A"/>
    <w:rsid w:val="00F24B73"/>
    <w:rsid w:val="00F31993"/>
    <w:rsid w:val="00F32993"/>
    <w:rsid w:val="00F34B8E"/>
    <w:rsid w:val="00F36877"/>
    <w:rsid w:val="00F37C38"/>
    <w:rsid w:val="00F4294D"/>
    <w:rsid w:val="00F42BE2"/>
    <w:rsid w:val="00F43D9B"/>
    <w:rsid w:val="00F457F0"/>
    <w:rsid w:val="00F475E9"/>
    <w:rsid w:val="00F47EC4"/>
    <w:rsid w:val="00F50AE6"/>
    <w:rsid w:val="00F60818"/>
    <w:rsid w:val="00F60B14"/>
    <w:rsid w:val="00F6712A"/>
    <w:rsid w:val="00F730B3"/>
    <w:rsid w:val="00F821A0"/>
    <w:rsid w:val="00F83501"/>
    <w:rsid w:val="00F85BF1"/>
    <w:rsid w:val="00F86783"/>
    <w:rsid w:val="00F8682F"/>
    <w:rsid w:val="00F87BEC"/>
    <w:rsid w:val="00F92E6A"/>
    <w:rsid w:val="00FA2A3A"/>
    <w:rsid w:val="00FA56C7"/>
    <w:rsid w:val="00FA67A8"/>
    <w:rsid w:val="00FA6B91"/>
    <w:rsid w:val="00FB097C"/>
    <w:rsid w:val="00FB27CD"/>
    <w:rsid w:val="00FB2D7F"/>
    <w:rsid w:val="00FB4159"/>
    <w:rsid w:val="00FB420E"/>
    <w:rsid w:val="00FB512A"/>
    <w:rsid w:val="00FB54C6"/>
    <w:rsid w:val="00FB60EC"/>
    <w:rsid w:val="00FC0658"/>
    <w:rsid w:val="00FC0D6F"/>
    <w:rsid w:val="00FC19E2"/>
    <w:rsid w:val="00FC22FE"/>
    <w:rsid w:val="00FC25D0"/>
    <w:rsid w:val="00FC35D2"/>
    <w:rsid w:val="00FC5742"/>
    <w:rsid w:val="00FC5BD9"/>
    <w:rsid w:val="00FC632E"/>
    <w:rsid w:val="00FC6BA6"/>
    <w:rsid w:val="00FC7BDD"/>
    <w:rsid w:val="00FD1A5E"/>
    <w:rsid w:val="00FD34BF"/>
    <w:rsid w:val="00FD7F94"/>
    <w:rsid w:val="00FE004F"/>
    <w:rsid w:val="00FE0B88"/>
    <w:rsid w:val="00FE3ABB"/>
    <w:rsid w:val="00FE3D1A"/>
    <w:rsid w:val="00FE500E"/>
    <w:rsid w:val="00FE7F9E"/>
    <w:rsid w:val="00FF0500"/>
    <w:rsid w:val="00FF083B"/>
    <w:rsid w:val="00FF0C34"/>
    <w:rsid w:val="00FF5297"/>
    <w:rsid w:val="00FF749D"/>
    <w:rsid w:val="0327EE70"/>
    <w:rsid w:val="05728619"/>
    <w:rsid w:val="07F76126"/>
    <w:rsid w:val="0FEE0E81"/>
    <w:rsid w:val="132CEF26"/>
    <w:rsid w:val="29CDC7A8"/>
    <w:rsid w:val="35908269"/>
    <w:rsid w:val="3639DF01"/>
    <w:rsid w:val="41E28E58"/>
    <w:rsid w:val="5084E109"/>
    <w:rsid w:val="59C8AC61"/>
    <w:rsid w:val="61806856"/>
    <w:rsid w:val="63B432C8"/>
    <w:rsid w:val="661784F2"/>
    <w:rsid w:val="6D51ACD6"/>
    <w:rsid w:val="76DF62A2"/>
    <w:rsid w:val="78F4D82E"/>
    <w:rsid w:val="7AAE6F21"/>
    <w:rsid w:val="7AEBB21C"/>
    <w:rsid w:val="7DCEF4FC"/>
    <w:rsid w:val="7E7137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625B1636"/>
  <w15:chartTrackingRefBased/>
  <w15:docId w15:val="{90EC0DA6-58F6-406D-8195-9110E17C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7F75"/>
  </w:style>
  <w:style w:type="paragraph" w:styleId="Heading1">
    <w:name w:val="heading 1"/>
    <w:basedOn w:val="Normal"/>
    <w:next w:val="Normal"/>
    <w:link w:val="Heading1Char"/>
    <w:uiPriority w:val="9"/>
    <w:qFormat/>
    <w:rsid w:val="00DF46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F46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E6A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888"/>
    <w:pPr>
      <w:ind w:left="720"/>
      <w:contextualSpacing/>
    </w:pPr>
  </w:style>
  <w:style w:type="character" w:customStyle="1" w:styleId="Heading1Char">
    <w:name w:val="Heading 1 Char"/>
    <w:basedOn w:val="DefaultParagraphFont"/>
    <w:link w:val="Heading1"/>
    <w:uiPriority w:val="9"/>
    <w:rsid w:val="00DF46F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F46FF"/>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9C55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549"/>
  </w:style>
  <w:style w:type="paragraph" w:styleId="Footer">
    <w:name w:val="footer"/>
    <w:basedOn w:val="Normal"/>
    <w:link w:val="FooterChar"/>
    <w:uiPriority w:val="99"/>
    <w:unhideWhenUsed/>
    <w:rsid w:val="009C55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549"/>
  </w:style>
  <w:style w:type="table" w:styleId="TableGrid">
    <w:name w:val="Table Grid"/>
    <w:aliases w:val="DLGC Table - Form"/>
    <w:basedOn w:val="TableNormal"/>
    <w:uiPriority w:val="39"/>
    <w:rsid w:val="00757587"/>
    <w:pPr>
      <w:spacing w:before="100" w:after="100" w:line="240" w:lineRule="auto"/>
      <w:ind w:left="170" w:right="17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character" w:styleId="Hyperlink">
    <w:name w:val="Hyperlink"/>
    <w:basedOn w:val="DefaultParagraphFont"/>
    <w:uiPriority w:val="99"/>
    <w:unhideWhenUsed/>
    <w:rsid w:val="0033233C"/>
    <w:rPr>
      <w:rFonts w:ascii="Arial" w:hAnsi="Arial"/>
      <w:color w:val="005F86"/>
      <w:sz w:val="24"/>
      <w:u w:val="single"/>
    </w:rPr>
  </w:style>
  <w:style w:type="paragraph" w:styleId="FootnoteText">
    <w:name w:val="footnote text"/>
    <w:basedOn w:val="Normal"/>
    <w:link w:val="FootnoteTextChar"/>
    <w:uiPriority w:val="99"/>
    <w:unhideWhenUsed/>
    <w:rsid w:val="0033233C"/>
    <w:pPr>
      <w:spacing w:after="0" w:line="240" w:lineRule="auto"/>
    </w:pPr>
    <w:rPr>
      <w:rFonts w:ascii="Arial" w:hAnsi="Arial"/>
      <w:color w:val="3C3C3C"/>
      <w:sz w:val="20"/>
      <w:szCs w:val="20"/>
    </w:rPr>
  </w:style>
  <w:style w:type="character" w:customStyle="1" w:styleId="FootnoteTextChar">
    <w:name w:val="Footnote Text Char"/>
    <w:basedOn w:val="DefaultParagraphFont"/>
    <w:link w:val="FootnoteText"/>
    <w:uiPriority w:val="99"/>
    <w:rsid w:val="0033233C"/>
    <w:rPr>
      <w:rFonts w:ascii="Arial" w:hAnsi="Arial"/>
      <w:color w:val="3C3C3C"/>
      <w:sz w:val="20"/>
      <w:szCs w:val="20"/>
    </w:rPr>
  </w:style>
  <w:style w:type="character" w:styleId="FootnoteReference">
    <w:name w:val="footnote reference"/>
    <w:basedOn w:val="DefaultParagraphFont"/>
    <w:uiPriority w:val="99"/>
    <w:unhideWhenUsed/>
    <w:rsid w:val="0033233C"/>
    <w:rPr>
      <w:vertAlign w:val="superscript"/>
    </w:rPr>
  </w:style>
  <w:style w:type="character" w:styleId="FollowedHyperlink">
    <w:name w:val="FollowedHyperlink"/>
    <w:basedOn w:val="DefaultParagraphFont"/>
    <w:uiPriority w:val="99"/>
    <w:semiHidden/>
    <w:unhideWhenUsed/>
    <w:rsid w:val="0033233C"/>
    <w:rPr>
      <w:color w:val="954F72" w:themeColor="followedHyperlink"/>
      <w:u w:val="single"/>
    </w:rPr>
  </w:style>
  <w:style w:type="paragraph" w:styleId="TOCHeading">
    <w:name w:val="TOC Heading"/>
    <w:basedOn w:val="Heading1"/>
    <w:next w:val="Normal"/>
    <w:uiPriority w:val="39"/>
    <w:unhideWhenUsed/>
    <w:qFormat/>
    <w:rsid w:val="004C044A"/>
    <w:pPr>
      <w:outlineLvl w:val="9"/>
    </w:pPr>
    <w:rPr>
      <w:lang w:val="en-US"/>
    </w:rPr>
  </w:style>
  <w:style w:type="paragraph" w:styleId="TOC1">
    <w:name w:val="toc 1"/>
    <w:basedOn w:val="Normal"/>
    <w:next w:val="Normal"/>
    <w:autoRedefine/>
    <w:uiPriority w:val="39"/>
    <w:unhideWhenUsed/>
    <w:rsid w:val="004C044A"/>
    <w:pPr>
      <w:spacing w:after="100"/>
    </w:pPr>
  </w:style>
  <w:style w:type="paragraph" w:styleId="TOC2">
    <w:name w:val="toc 2"/>
    <w:basedOn w:val="Normal"/>
    <w:next w:val="Normal"/>
    <w:autoRedefine/>
    <w:uiPriority w:val="39"/>
    <w:unhideWhenUsed/>
    <w:rsid w:val="009E19FF"/>
    <w:pPr>
      <w:tabs>
        <w:tab w:val="right" w:leader="dot" w:pos="9016"/>
      </w:tabs>
      <w:spacing w:after="100"/>
      <w:ind w:left="220"/>
    </w:pPr>
  </w:style>
  <w:style w:type="paragraph" w:styleId="NormalWeb">
    <w:name w:val="Normal (Web)"/>
    <w:basedOn w:val="Normal"/>
    <w:uiPriority w:val="99"/>
    <w:unhideWhenUsed/>
    <w:rsid w:val="00386D32"/>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GridTable4-Accent5">
    <w:name w:val="Grid Table 4 Accent 5"/>
    <w:basedOn w:val="TableNormal"/>
    <w:uiPriority w:val="49"/>
    <w:rsid w:val="00386D3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Default">
    <w:name w:val="Default"/>
    <w:rsid w:val="00386D32"/>
    <w:pPr>
      <w:autoSpaceDE w:val="0"/>
      <w:autoSpaceDN w:val="0"/>
      <w:adjustRightInd w:val="0"/>
      <w:spacing w:after="0" w:line="240" w:lineRule="auto"/>
    </w:pPr>
    <w:rPr>
      <w:rFonts w:ascii="Calibri" w:eastAsia="Times New Roman" w:hAnsi="Calibri" w:cs="Calibri"/>
      <w:color w:val="000000"/>
      <w:sz w:val="24"/>
      <w:szCs w:val="24"/>
      <w:lang w:eastAsia="en-AU"/>
    </w:rPr>
  </w:style>
  <w:style w:type="table" w:styleId="GridTable5Dark-Accent5">
    <w:name w:val="Grid Table 5 Dark Accent 5"/>
    <w:basedOn w:val="TableNormal"/>
    <w:uiPriority w:val="50"/>
    <w:rsid w:val="00386D32"/>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CommentText">
    <w:name w:val="annotation text"/>
    <w:basedOn w:val="Normal"/>
    <w:link w:val="CommentTextChar"/>
    <w:rsid w:val="00386D32"/>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386D32"/>
    <w:rPr>
      <w:rFonts w:ascii="Arial" w:eastAsia="Times New Roman" w:hAnsi="Arial" w:cs="Times New Roman"/>
      <w:sz w:val="20"/>
      <w:szCs w:val="20"/>
    </w:rPr>
  </w:style>
  <w:style w:type="character" w:styleId="CommentReference">
    <w:name w:val="annotation reference"/>
    <w:basedOn w:val="DefaultParagraphFont"/>
    <w:rsid w:val="00386D32"/>
    <w:rPr>
      <w:sz w:val="16"/>
      <w:szCs w:val="16"/>
    </w:rPr>
  </w:style>
  <w:style w:type="paragraph" w:styleId="BalloonText">
    <w:name w:val="Balloon Text"/>
    <w:basedOn w:val="Normal"/>
    <w:link w:val="BalloonTextChar"/>
    <w:uiPriority w:val="99"/>
    <w:semiHidden/>
    <w:unhideWhenUsed/>
    <w:rsid w:val="00386D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D3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F0ED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F0ED6"/>
    <w:rPr>
      <w:rFonts w:ascii="Arial" w:eastAsia="Times New Roman" w:hAnsi="Arial" w:cs="Times New Roman"/>
      <w:b/>
      <w:bCs/>
      <w:sz w:val="20"/>
      <w:szCs w:val="20"/>
    </w:rPr>
  </w:style>
  <w:style w:type="character" w:customStyle="1" w:styleId="UnresolvedMention1">
    <w:name w:val="Unresolved Mention1"/>
    <w:basedOn w:val="DefaultParagraphFont"/>
    <w:uiPriority w:val="99"/>
    <w:semiHidden/>
    <w:unhideWhenUsed/>
    <w:rsid w:val="007F0ED6"/>
    <w:rPr>
      <w:color w:val="808080"/>
      <w:shd w:val="clear" w:color="auto" w:fill="E6E6E6"/>
    </w:rPr>
  </w:style>
  <w:style w:type="table" w:customStyle="1" w:styleId="DLGCTable-Form1">
    <w:name w:val="DLGC Table - Form1"/>
    <w:basedOn w:val="TableNormal"/>
    <w:next w:val="TableGrid"/>
    <w:uiPriority w:val="39"/>
    <w:rsid w:val="008F5D33"/>
    <w:pPr>
      <w:spacing w:before="100" w:after="100" w:line="240" w:lineRule="auto"/>
      <w:ind w:left="170" w:right="17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table" w:customStyle="1" w:styleId="TableGrid1">
    <w:name w:val="Table Grid1"/>
    <w:basedOn w:val="TableNormal"/>
    <w:next w:val="TableGrid"/>
    <w:uiPriority w:val="39"/>
    <w:rsid w:val="00255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E4A9F"/>
    <w:pPr>
      <w:spacing w:after="0" w:line="240" w:lineRule="auto"/>
    </w:pPr>
  </w:style>
  <w:style w:type="character" w:customStyle="1" w:styleId="UnresolvedMention2">
    <w:name w:val="Unresolved Mention2"/>
    <w:basedOn w:val="DefaultParagraphFont"/>
    <w:uiPriority w:val="99"/>
    <w:semiHidden/>
    <w:unhideWhenUsed/>
    <w:rsid w:val="00943BCA"/>
    <w:rPr>
      <w:color w:val="808080"/>
      <w:shd w:val="clear" w:color="auto" w:fill="E6E6E6"/>
    </w:rPr>
  </w:style>
  <w:style w:type="table" w:customStyle="1" w:styleId="DLGCTable-Form2">
    <w:name w:val="DLGC Table - Form2"/>
    <w:basedOn w:val="TableNormal"/>
    <w:next w:val="TableGrid"/>
    <w:uiPriority w:val="39"/>
    <w:rsid w:val="005F74FA"/>
    <w:pPr>
      <w:spacing w:before="100" w:after="100" w:line="240" w:lineRule="auto"/>
      <w:ind w:left="170" w:right="17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character" w:customStyle="1" w:styleId="Heading3Char">
    <w:name w:val="Heading 3 Char"/>
    <w:basedOn w:val="DefaultParagraphFont"/>
    <w:link w:val="Heading3"/>
    <w:uiPriority w:val="9"/>
    <w:rsid w:val="006E6A18"/>
    <w:rPr>
      <w:rFonts w:asciiTheme="majorHAnsi" w:eastAsiaTheme="majorEastAsia" w:hAnsiTheme="majorHAnsi" w:cstheme="majorBidi"/>
      <w:color w:val="1F3763" w:themeColor="accent1" w:themeShade="7F"/>
      <w:sz w:val="24"/>
      <w:szCs w:val="24"/>
    </w:rPr>
  </w:style>
  <w:style w:type="table" w:customStyle="1" w:styleId="DLGCTable-Form3">
    <w:name w:val="DLGC Table - Form3"/>
    <w:basedOn w:val="TableNormal"/>
    <w:next w:val="TableGrid"/>
    <w:uiPriority w:val="39"/>
    <w:rsid w:val="002033AB"/>
    <w:pPr>
      <w:spacing w:before="100" w:after="100" w:line="240" w:lineRule="auto"/>
      <w:ind w:left="170" w:right="17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748641">
      <w:bodyDiv w:val="1"/>
      <w:marLeft w:val="0"/>
      <w:marRight w:val="0"/>
      <w:marTop w:val="0"/>
      <w:marBottom w:val="0"/>
      <w:divBdr>
        <w:top w:val="none" w:sz="0" w:space="0" w:color="auto"/>
        <w:left w:val="none" w:sz="0" w:space="0" w:color="auto"/>
        <w:bottom w:val="none" w:sz="0" w:space="0" w:color="auto"/>
        <w:right w:val="none" w:sz="0" w:space="0" w:color="auto"/>
      </w:divBdr>
    </w:div>
    <w:div w:id="689258920">
      <w:bodyDiv w:val="1"/>
      <w:marLeft w:val="0"/>
      <w:marRight w:val="0"/>
      <w:marTop w:val="0"/>
      <w:marBottom w:val="0"/>
      <w:divBdr>
        <w:top w:val="none" w:sz="0" w:space="0" w:color="auto"/>
        <w:left w:val="none" w:sz="0" w:space="0" w:color="auto"/>
        <w:bottom w:val="none" w:sz="0" w:space="0" w:color="auto"/>
        <w:right w:val="none" w:sz="0" w:space="0" w:color="auto"/>
      </w:divBdr>
    </w:div>
    <w:div w:id="699549569">
      <w:bodyDiv w:val="1"/>
      <w:marLeft w:val="0"/>
      <w:marRight w:val="0"/>
      <w:marTop w:val="0"/>
      <w:marBottom w:val="0"/>
      <w:divBdr>
        <w:top w:val="none" w:sz="0" w:space="0" w:color="auto"/>
        <w:left w:val="none" w:sz="0" w:space="0" w:color="auto"/>
        <w:bottom w:val="none" w:sz="0" w:space="0" w:color="auto"/>
        <w:right w:val="none" w:sz="0" w:space="0" w:color="auto"/>
      </w:divBdr>
    </w:div>
    <w:div w:id="1420904826">
      <w:bodyDiv w:val="1"/>
      <w:marLeft w:val="0"/>
      <w:marRight w:val="0"/>
      <w:marTop w:val="0"/>
      <w:marBottom w:val="0"/>
      <w:divBdr>
        <w:top w:val="none" w:sz="0" w:space="0" w:color="auto"/>
        <w:left w:val="none" w:sz="0" w:space="0" w:color="auto"/>
        <w:bottom w:val="none" w:sz="0" w:space="0" w:color="auto"/>
        <w:right w:val="none" w:sz="0" w:space="0" w:color="auto"/>
      </w:divBdr>
    </w:div>
    <w:div w:id="1620915184">
      <w:bodyDiv w:val="1"/>
      <w:marLeft w:val="0"/>
      <w:marRight w:val="0"/>
      <w:marTop w:val="0"/>
      <w:marBottom w:val="0"/>
      <w:divBdr>
        <w:top w:val="none" w:sz="0" w:space="0" w:color="auto"/>
        <w:left w:val="none" w:sz="0" w:space="0" w:color="auto"/>
        <w:bottom w:val="none" w:sz="0" w:space="0" w:color="auto"/>
        <w:right w:val="none" w:sz="0" w:space="0" w:color="auto"/>
      </w:divBdr>
      <w:divsChild>
        <w:div w:id="2007635008">
          <w:marLeft w:val="0"/>
          <w:marRight w:val="0"/>
          <w:marTop w:val="0"/>
          <w:marBottom w:val="0"/>
          <w:divBdr>
            <w:top w:val="none" w:sz="0" w:space="0" w:color="auto"/>
            <w:left w:val="none" w:sz="0" w:space="0" w:color="auto"/>
            <w:bottom w:val="none" w:sz="0" w:space="0" w:color="auto"/>
            <w:right w:val="none" w:sz="0" w:space="0" w:color="auto"/>
          </w:divBdr>
          <w:divsChild>
            <w:div w:id="1742410076">
              <w:marLeft w:val="0"/>
              <w:marRight w:val="0"/>
              <w:marTop w:val="0"/>
              <w:marBottom w:val="0"/>
              <w:divBdr>
                <w:top w:val="none" w:sz="0" w:space="0" w:color="auto"/>
                <w:left w:val="none" w:sz="0" w:space="0" w:color="auto"/>
                <w:bottom w:val="none" w:sz="0" w:space="0" w:color="auto"/>
                <w:right w:val="none" w:sz="0" w:space="0" w:color="auto"/>
              </w:divBdr>
              <w:divsChild>
                <w:div w:id="1499997683">
                  <w:marLeft w:val="0"/>
                  <w:marRight w:val="0"/>
                  <w:marTop w:val="0"/>
                  <w:marBottom w:val="0"/>
                  <w:divBdr>
                    <w:top w:val="none" w:sz="0" w:space="0" w:color="auto"/>
                    <w:left w:val="none" w:sz="0" w:space="0" w:color="auto"/>
                    <w:bottom w:val="none" w:sz="0" w:space="0" w:color="auto"/>
                    <w:right w:val="none" w:sz="0" w:space="0" w:color="auto"/>
                  </w:divBdr>
                  <w:divsChild>
                    <w:div w:id="2048528204">
                      <w:marLeft w:val="0"/>
                      <w:marRight w:val="0"/>
                      <w:marTop w:val="0"/>
                      <w:marBottom w:val="0"/>
                      <w:divBdr>
                        <w:top w:val="none" w:sz="0" w:space="0" w:color="auto"/>
                        <w:left w:val="none" w:sz="0" w:space="0" w:color="auto"/>
                        <w:bottom w:val="none" w:sz="0" w:space="0" w:color="auto"/>
                        <w:right w:val="none" w:sz="0" w:space="0" w:color="auto"/>
                      </w:divBdr>
                      <w:divsChild>
                        <w:div w:id="1298409481">
                          <w:marLeft w:val="0"/>
                          <w:marRight w:val="0"/>
                          <w:marTop w:val="0"/>
                          <w:marBottom w:val="0"/>
                          <w:divBdr>
                            <w:top w:val="none" w:sz="0" w:space="0" w:color="auto"/>
                            <w:left w:val="none" w:sz="0" w:space="0" w:color="auto"/>
                            <w:bottom w:val="none" w:sz="0" w:space="0" w:color="auto"/>
                            <w:right w:val="none" w:sz="0" w:space="0" w:color="auto"/>
                          </w:divBdr>
                          <w:divsChild>
                            <w:div w:id="1229457310">
                              <w:marLeft w:val="0"/>
                              <w:marRight w:val="0"/>
                              <w:marTop w:val="0"/>
                              <w:marBottom w:val="0"/>
                              <w:divBdr>
                                <w:top w:val="none" w:sz="0" w:space="0" w:color="auto"/>
                                <w:left w:val="none" w:sz="0" w:space="0" w:color="auto"/>
                                <w:bottom w:val="none" w:sz="0" w:space="0" w:color="auto"/>
                                <w:right w:val="none" w:sz="0" w:space="0" w:color="auto"/>
                              </w:divBdr>
                              <w:divsChild>
                                <w:div w:id="145486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377861">
      <w:bodyDiv w:val="1"/>
      <w:marLeft w:val="0"/>
      <w:marRight w:val="0"/>
      <w:marTop w:val="0"/>
      <w:marBottom w:val="0"/>
      <w:divBdr>
        <w:top w:val="none" w:sz="0" w:space="0" w:color="auto"/>
        <w:left w:val="none" w:sz="0" w:space="0" w:color="auto"/>
        <w:bottom w:val="none" w:sz="0" w:space="0" w:color="auto"/>
        <w:right w:val="none" w:sz="0" w:space="0" w:color="auto"/>
      </w:divBdr>
    </w:div>
    <w:div w:id="181090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yperlink" Target="mailto:actreview@dlgsc.wa.gov.au" TargetMode="External"/><Relationship Id="rId2" Type="http://schemas.openxmlformats.org/officeDocument/2006/relationships/customXml" Target="../customXml/item2.xml"/><Relationship Id="rId16" Type="http://schemas.openxmlformats.org/officeDocument/2006/relationships/hyperlink" Target="http://www.dlgsc.wa.gov.au/LGAreview"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treview@dlgsc.wa.gov.au" TargetMode="External"/><Relationship Id="rId5" Type="http://schemas.openxmlformats.org/officeDocument/2006/relationships/numbering" Target="numbering.xml"/><Relationship Id="rId15" Type="http://schemas.openxmlformats.org/officeDocument/2006/relationships/hyperlink" Target="mailto:actreview@dlgsc.wa.gov.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lgsc.wa.gov.au/LGAreview"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kenp\AppData\Local\Packages\Microsoft.MicrosoftEdge_8wekyb3d8bbwe\TempState\Downloads\MyCouncil%20-%20Compare%20all%20councils%20(1).csv"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kenp\AppData\Local\Packages\Microsoft.MicrosoftEdge_8wekyb3d8bbwe\TempState\Downloads\MyCouncil%20-%20Compare%20all%20councils%20(1).csv"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Revenue</a:t>
            </a:r>
            <a:r>
              <a:rPr lang="en-AU" baseline="0"/>
              <a:t> sources all Western Australian local governments in 2016-17</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dPt>
            <c:idx val="0"/>
            <c:bubble3D val="0"/>
            <c:spPr>
              <a:solidFill>
                <a:schemeClr val="accent2"/>
              </a:solidFill>
              <a:ln w="19050">
                <a:solidFill>
                  <a:schemeClr val="lt1"/>
                </a:solidFill>
              </a:ln>
              <a:effectLst/>
            </c:spPr>
            <c:extLst>
              <c:ext xmlns:c16="http://schemas.microsoft.com/office/drawing/2014/chart" uri="{C3380CC4-5D6E-409C-BE32-E72D297353CC}">
                <c16:uniqueId val="{00000001-562D-43E1-818F-8CF970D3BFA9}"/>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562D-43E1-818F-8CF970D3BFA9}"/>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562D-43E1-818F-8CF970D3BFA9}"/>
              </c:ext>
            </c:extLst>
          </c:dPt>
          <c:dPt>
            <c:idx val="3"/>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7-562D-43E1-818F-8CF970D3BFA9}"/>
              </c:ext>
            </c:extLst>
          </c:dPt>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'LGA review finance management p'!$B$1:$E$1</c:f>
              <c:strCache>
                <c:ptCount val="4"/>
                <c:pt idx="0">
                  <c:v>Rate Revenue</c:v>
                </c:pt>
                <c:pt idx="1">
                  <c:v>Grants</c:v>
                </c:pt>
                <c:pt idx="2">
                  <c:v>Fees Charges</c:v>
                </c:pt>
                <c:pt idx="3">
                  <c:v>Other Revenue</c:v>
                </c:pt>
              </c:strCache>
            </c:strRef>
          </c:cat>
          <c:val>
            <c:numRef>
              <c:f>'LGA review finance management p'!$B$141:$E$141</c:f>
              <c:numCache>
                <c:formatCode>0.0%</c:formatCode>
                <c:ptCount val="4"/>
                <c:pt idx="0">
                  <c:v>0.54403062557102599</c:v>
                </c:pt>
                <c:pt idx="1">
                  <c:v>0.15772610894380559</c:v>
                </c:pt>
                <c:pt idx="2">
                  <c:v>0.23706415105275097</c:v>
                </c:pt>
                <c:pt idx="3">
                  <c:v>6.117911443241747E-2</c:v>
                </c:pt>
              </c:numCache>
            </c:numRef>
          </c:val>
          <c:extLst>
            <c:ext xmlns:c16="http://schemas.microsoft.com/office/drawing/2014/chart" uri="{C3380CC4-5D6E-409C-BE32-E72D297353CC}">
              <c16:uniqueId val="{00000008-562D-43E1-818F-8CF970D3BFA9}"/>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Revenue sources of</a:t>
            </a:r>
            <a:r>
              <a:rPr lang="en-AU" baseline="0"/>
              <a:t> the median Western Australian local government in 2016-17</a:t>
            </a:r>
            <a:endParaRPr lang="en-AU"/>
          </a:p>
        </c:rich>
      </c:tx>
      <c:layout>
        <c:manualLayout>
          <c:xMode val="edge"/>
          <c:yMode val="edge"/>
          <c:x val="0.11101377952755904"/>
          <c:y val="1.388888888888888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dPt>
            <c:idx val="0"/>
            <c:bubble3D val="0"/>
            <c:spPr>
              <a:solidFill>
                <a:schemeClr val="accent2"/>
              </a:solidFill>
              <a:ln w="19050">
                <a:solidFill>
                  <a:schemeClr val="lt1"/>
                </a:solidFill>
              </a:ln>
              <a:effectLst/>
            </c:spPr>
            <c:extLst>
              <c:ext xmlns:c16="http://schemas.microsoft.com/office/drawing/2014/chart" uri="{C3380CC4-5D6E-409C-BE32-E72D297353CC}">
                <c16:uniqueId val="{00000001-BDFC-4A68-A447-218E18E6134B}"/>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BDFC-4A68-A447-218E18E6134B}"/>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BDFC-4A68-A447-218E18E6134B}"/>
              </c:ext>
            </c:extLst>
          </c:dPt>
          <c:dPt>
            <c:idx val="3"/>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7-BDFC-4A68-A447-218E18E6134B}"/>
              </c:ext>
            </c:extLst>
          </c:dPt>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'LGA review finance management p'!$B$1:$E$1</c:f>
              <c:strCache>
                <c:ptCount val="4"/>
                <c:pt idx="0">
                  <c:v>Rate Revenue</c:v>
                </c:pt>
                <c:pt idx="1">
                  <c:v>Grants</c:v>
                </c:pt>
                <c:pt idx="2">
                  <c:v>Fees Charges</c:v>
                </c:pt>
                <c:pt idx="3">
                  <c:v>Other Revenue</c:v>
                </c:pt>
              </c:strCache>
            </c:strRef>
          </c:cat>
          <c:val>
            <c:numRef>
              <c:f>'LGA review finance management p'!$B$143:$E$143</c:f>
              <c:numCache>
                <c:formatCode>0.0%</c:formatCode>
                <c:ptCount val="4"/>
                <c:pt idx="0">
                  <c:v>0.39073665069430469</c:v>
                </c:pt>
                <c:pt idx="1">
                  <c:v>0.33765354544961074</c:v>
                </c:pt>
                <c:pt idx="2">
                  <c:v>0.15102733723987771</c:v>
                </c:pt>
                <c:pt idx="3">
                  <c:v>5.8474824146885436E-2</c:v>
                </c:pt>
              </c:numCache>
            </c:numRef>
          </c:val>
          <c:extLst>
            <c:ext xmlns:c16="http://schemas.microsoft.com/office/drawing/2014/chart" uri="{C3380CC4-5D6E-409C-BE32-E72D297353CC}">
              <c16:uniqueId val="{00000008-BDFC-4A68-A447-218E18E6134B}"/>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9" ma:contentTypeDescription="Create a new document." ma:contentTypeScope="" ma:versionID="7c8c45d3cebce19ce82865d9207dd6a7">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9a55826df581af488df08a8fcde6fef0"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AEC5CB-85F1-4F9C-BDD0-EF612A2782D0}"/>
</file>

<file path=customXml/itemProps2.xml><?xml version="1.0" encoding="utf-8"?>
<ds:datastoreItem xmlns:ds="http://schemas.openxmlformats.org/officeDocument/2006/customXml" ds:itemID="{EB8E83CC-C9B1-4EF8-86A3-B060B2FE1738}"/>
</file>

<file path=customXml/itemProps3.xml><?xml version="1.0" encoding="utf-8"?>
<ds:datastoreItem xmlns:ds="http://schemas.openxmlformats.org/officeDocument/2006/customXml" ds:itemID="{E4A136DB-D38A-4503-8BD5-08385729FCF5}"/>
</file>

<file path=customXml/itemProps4.xml><?xml version="1.0" encoding="utf-8"?>
<ds:datastoreItem xmlns:ds="http://schemas.openxmlformats.org/officeDocument/2006/customXml" ds:itemID="{057FB729-9E39-4EED-B798-16F9190F765F}"/>
</file>

<file path=docProps/app.xml><?xml version="1.0" encoding="utf-8"?>
<Properties xmlns="http://schemas.openxmlformats.org/officeDocument/2006/extended-properties" xmlns:vt="http://schemas.openxmlformats.org/officeDocument/2006/docPropsVTypes">
  <Template>Normal.dotm</Template>
  <TotalTime>2</TotalTime>
  <Pages>27</Pages>
  <Words>7320</Words>
  <Characters>41726</Characters>
  <Application>Microsoft Office Word</Application>
  <DocSecurity>0</DocSecurity>
  <Lines>347</Lines>
  <Paragraphs>97</Paragraphs>
  <ScaleCrop>false</ScaleCrop>
  <Company/>
  <LinksUpToDate>false</LinksUpToDate>
  <CharactersWithSpaces>48949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discussion paper</dc:title>
  <dc:subject/>
  <dc:creator>Ken Parker</dc:creator>
  <cp:keywords/>
  <cp:lastModifiedBy>Darrelle Merritt</cp:lastModifiedBy>
  <cp:revision>87</cp:revision>
  <cp:lastPrinted>2018-08-06T11:05:00Z</cp:lastPrinted>
  <dcterms:created xsi:type="dcterms:W3CDTF">2018-08-27T03:19:00Z</dcterms:created>
  <dcterms:modified xsi:type="dcterms:W3CDTF">2018-09-18T06:10:00Z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