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BD" w:rsidRDefault="00672D56" w:rsidP="00197E95">
      <w:r>
        <w:rPr>
          <w:noProof/>
        </w:rPr>
        <w:drawing>
          <wp:inline distT="0" distB="0" distL="0" distR="0">
            <wp:extent cx="3806952" cy="582168"/>
            <wp:effectExtent l="0" t="0" r="3175" b="8890"/>
            <wp:docPr id="4" name="Picture 4" descr="WA Local Government Grants Commission logo" title="WA Local Government Gran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GGC_colour (in-hous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6952" cy="582168"/>
                    </a:xfrm>
                    <a:prstGeom prst="rect">
                      <a:avLst/>
                    </a:prstGeom>
                  </pic:spPr>
                </pic:pic>
              </a:graphicData>
            </a:graphic>
          </wp:inline>
        </w:drawing>
      </w:r>
    </w:p>
    <w:p w:rsidR="009E699B" w:rsidRDefault="009E699B" w:rsidP="00197E95"/>
    <w:p w:rsidR="00545E1E" w:rsidRPr="0064441A" w:rsidRDefault="00545E1E" w:rsidP="00B82AA0">
      <w:pPr>
        <w:pStyle w:val="Title"/>
        <w:spacing w:before="3520"/>
        <w:ind w:right="-425"/>
        <w:rPr>
          <w:rStyle w:val="SubtitleChar"/>
        </w:rPr>
      </w:pPr>
      <w:r w:rsidRPr="007D2AF3">
        <w:rPr>
          <w:noProof/>
        </w:rPr>
        <w:drawing>
          <wp:anchor distT="0" distB="0" distL="114300" distR="114300" simplePos="0" relativeHeight="251661312" behindDoc="1" locked="0" layoutInCell="1" allowOverlap="1" wp14:anchorId="26BA3988" wp14:editId="513DE382">
            <wp:simplePos x="0" y="0"/>
            <wp:positionH relativeFrom="page">
              <wp:posOffset>-28575</wp:posOffset>
            </wp:positionH>
            <wp:positionV relativeFrom="page">
              <wp:posOffset>2880360</wp:posOffset>
            </wp:positionV>
            <wp:extent cx="1360800" cy="2566800"/>
            <wp:effectExtent l="0" t="0" r="0" b="5080"/>
            <wp:wrapNone/>
            <wp:docPr id="155" name="Picture 155"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9">
                      <a:extLst>
                        <a:ext uri="{28A0092B-C50C-407E-A947-70E740481C1C}">
                          <a14:useLocalDpi xmlns:a14="http://schemas.microsoft.com/office/drawing/2010/main" val="0"/>
                        </a:ext>
                      </a:extLst>
                    </a:blip>
                    <a:srcRect t="24798" r="81983" b="51196"/>
                    <a:stretch/>
                  </pic:blipFill>
                  <pic:spPr bwMode="auto">
                    <a:xfrm>
                      <a:off x="0" y="0"/>
                      <a:ext cx="1360800" cy="25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D1F" w:rsidRPr="007D2AF3">
        <w:t>WA Local Government Grants Commission</w:t>
      </w:r>
      <w:r w:rsidRPr="000423F7">
        <w:br w:type="textWrapping" w:clear="all"/>
      </w:r>
      <w:r w:rsidRPr="0064441A">
        <w:rPr>
          <w:rStyle w:val="SubtitleChar"/>
        </w:rPr>
        <w:t>Annual Report 201</w:t>
      </w:r>
      <w:r w:rsidR="0067050D" w:rsidRPr="0064441A">
        <w:rPr>
          <w:rStyle w:val="SubtitleChar"/>
        </w:rPr>
        <w:t>5</w:t>
      </w:r>
    </w:p>
    <w:p w:rsidR="00316D1F" w:rsidRDefault="00316D1F" w:rsidP="00545E1E">
      <w:pPr>
        <w:ind w:left="1134"/>
        <w:rPr>
          <w:rFonts w:ascii="Trebuchet MS" w:hAnsi="Trebuchet MS"/>
          <w:sz w:val="28"/>
          <w:szCs w:val="28"/>
        </w:rPr>
      </w:pPr>
      <w:r>
        <w:rPr>
          <w:rFonts w:ascii="Trebuchet MS" w:hAnsi="Trebuchet MS"/>
          <w:sz w:val="28"/>
          <w:szCs w:val="28"/>
        </w:rPr>
        <w:t>For the year ended 31 August</w:t>
      </w:r>
      <w:r w:rsidR="00550C17">
        <w:rPr>
          <w:rFonts w:ascii="Trebuchet MS" w:hAnsi="Trebuchet MS"/>
          <w:sz w:val="28"/>
          <w:szCs w:val="28"/>
        </w:rPr>
        <w:t xml:space="preserve"> 201</w:t>
      </w:r>
      <w:r w:rsidR="0067050D">
        <w:rPr>
          <w:rFonts w:ascii="Trebuchet MS" w:hAnsi="Trebuchet MS"/>
          <w:sz w:val="28"/>
          <w:szCs w:val="28"/>
        </w:rPr>
        <w:t>5</w:t>
      </w:r>
    </w:p>
    <w:p w:rsidR="00545E1E" w:rsidRPr="00545E1E" w:rsidRDefault="00316D1F" w:rsidP="00316D1F">
      <w:pPr>
        <w:ind w:left="1134"/>
        <w:sectPr w:rsidR="00545E1E" w:rsidRPr="00545E1E" w:rsidSect="00EB54FD">
          <w:footerReference w:type="even" r:id="rId10"/>
          <w:footerReference w:type="default" r:id="rId11"/>
          <w:footerReference w:type="first" r:id="rId12"/>
          <w:pgSz w:w="11906" w:h="16838" w:code="9"/>
          <w:pgMar w:top="1134" w:right="1134" w:bottom="1134" w:left="1134" w:header="720" w:footer="499" w:gutter="0"/>
          <w:pgNumType w:start="1"/>
          <w:cols w:space="720"/>
          <w:titlePg/>
        </w:sectPr>
      </w:pPr>
      <w:r>
        <w:t>The WA Local Government Grants Commission Annual Report 201</w:t>
      </w:r>
      <w:r w:rsidR="0067050D">
        <w:t>5</w:t>
      </w:r>
      <w:r>
        <w:t xml:space="preserve"> is available in a variety of formats for viewing and download from the Department of Local Government and Communities </w:t>
      </w:r>
      <w:hyperlink r:id="rId13" w:history="1">
        <w:r w:rsidRPr="009E4CDE">
          <w:rPr>
            <w:rStyle w:val="Hyperlink"/>
          </w:rPr>
          <w:t>website</w:t>
        </w:r>
      </w:hyperlink>
      <w:r>
        <w:t xml:space="preserve">. </w:t>
      </w:r>
      <w:r w:rsidR="00545E1E" w:rsidRPr="000423F7">
        <w:t xml:space="preserve"> </w:t>
      </w:r>
    </w:p>
    <w:p w:rsidR="003120D7" w:rsidRDefault="0064441A" w:rsidP="00197E95">
      <w:pPr>
        <w:pStyle w:val="InsideCover-title"/>
      </w:pPr>
      <w:bookmarkStart w:id="0" w:name="_Toc381634789"/>
      <w:r w:rsidRPr="008C7CBF">
        <w:rPr>
          <w:rFonts w:eastAsiaTheme="majorEastAsia" w:cstheme="majorBidi"/>
          <w:b/>
          <w:noProof/>
          <w:spacing w:val="5"/>
          <w:kern w:val="28"/>
          <w:sz w:val="72"/>
          <w:szCs w:val="72"/>
          <w:highlight w:val="yellow"/>
        </w:rPr>
        <w:drawing>
          <wp:anchor distT="0" distB="0" distL="114300" distR="114300" simplePos="0" relativeHeight="251662336" behindDoc="1" locked="0" layoutInCell="1" allowOverlap="1" wp14:anchorId="6D26B7BD" wp14:editId="0163B9B6">
            <wp:simplePos x="0" y="0"/>
            <wp:positionH relativeFrom="column">
              <wp:posOffset>-925195</wp:posOffset>
            </wp:positionH>
            <wp:positionV relativeFrom="paragraph">
              <wp:posOffset>952310</wp:posOffset>
            </wp:positionV>
            <wp:extent cx="7578090" cy="2966720"/>
            <wp:effectExtent l="0" t="0" r="3810" b="5080"/>
            <wp:wrapNone/>
            <wp:docPr id="2" name="Picture 2"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14">
                      <a:extLst>
                        <a:ext uri="{28A0092B-C50C-407E-A947-70E740481C1C}">
                          <a14:useLocalDpi xmlns:a14="http://schemas.microsoft.com/office/drawing/2010/main" val="0"/>
                        </a:ext>
                      </a:extLst>
                    </a:blip>
                    <a:srcRect t="67855" b="4450"/>
                    <a:stretch/>
                  </pic:blipFill>
                  <pic:spPr bwMode="auto">
                    <a:xfrm>
                      <a:off x="0" y="0"/>
                      <a:ext cx="757809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0D7">
        <w:br w:type="page"/>
      </w:r>
    </w:p>
    <w:p w:rsidR="009E699B" w:rsidRPr="00197E95" w:rsidRDefault="009E699B" w:rsidP="006C089B">
      <w:pPr>
        <w:pStyle w:val="InsideCover-title"/>
        <w:spacing w:before="840"/>
      </w:pPr>
      <w:r w:rsidRPr="00197E95">
        <w:lastRenderedPageBreak/>
        <w:t xml:space="preserve">Local Government </w:t>
      </w:r>
      <w:r w:rsidR="009C0FF5">
        <w:t>Grants Commission</w:t>
      </w:r>
      <w:r w:rsidR="00E05003">
        <w:br/>
        <w:t>Annual Report 201</w:t>
      </w:r>
      <w:r w:rsidR="0067050D">
        <w:t>5</w:t>
      </w:r>
    </w:p>
    <w:p w:rsidR="009E699B" w:rsidRPr="00A2779B" w:rsidRDefault="009C0FF5" w:rsidP="00CD0C16">
      <w:pPr>
        <w:pStyle w:val="Date"/>
        <w:rPr>
          <w:color w:val="3C3C3C"/>
        </w:rPr>
      </w:pPr>
      <w:r w:rsidRPr="00A2779B">
        <w:rPr>
          <w:color w:val="3C3C3C"/>
        </w:rPr>
        <w:t>For the year ended 31 August</w:t>
      </w:r>
      <w:r w:rsidR="0067050D">
        <w:rPr>
          <w:color w:val="3C3C3C"/>
        </w:rPr>
        <w:t xml:space="preserve"> 2015</w:t>
      </w:r>
    </w:p>
    <w:p w:rsidR="009E699B" w:rsidRPr="0022097B" w:rsidRDefault="009E699B" w:rsidP="00197E95">
      <w:pPr>
        <w:pStyle w:val="BodyText-nospacebelow"/>
      </w:pPr>
      <w:r w:rsidRPr="0022097B">
        <w:t>Prepared by:</w:t>
      </w:r>
    </w:p>
    <w:p w:rsidR="009E699B" w:rsidRPr="0022097B" w:rsidRDefault="009E699B" w:rsidP="00197E95">
      <w:pPr>
        <w:pStyle w:val="BodyText-nospacebelow"/>
      </w:pPr>
      <w:r w:rsidRPr="0022097B">
        <w:t>Department of Local Government</w:t>
      </w:r>
      <w:r>
        <w:t xml:space="preserve"> and Communities</w:t>
      </w:r>
    </w:p>
    <w:p w:rsidR="009E699B" w:rsidRDefault="009E699B" w:rsidP="00197E95">
      <w:pPr>
        <w:pStyle w:val="BodyText-nospacebelow"/>
      </w:pPr>
      <w:r>
        <w:t>140 William Street</w:t>
      </w:r>
    </w:p>
    <w:p w:rsidR="009E699B" w:rsidRPr="0022097B" w:rsidRDefault="009E699B" w:rsidP="00197E95">
      <w:pPr>
        <w:pStyle w:val="BodyText-nospacebelow"/>
      </w:pPr>
      <w:proofErr w:type="gramStart"/>
      <w:r>
        <w:t>Perth  WA</w:t>
      </w:r>
      <w:proofErr w:type="gramEnd"/>
      <w:r>
        <w:t xml:space="preserve">  6000</w:t>
      </w:r>
    </w:p>
    <w:p w:rsidR="009E699B" w:rsidRPr="00DE40E4" w:rsidRDefault="009E699B" w:rsidP="00197E95">
      <w:pPr>
        <w:pStyle w:val="BodyText-nospacebelow"/>
      </w:pPr>
      <w:r w:rsidRPr="00DE40E4">
        <w:t>GPO Box R1250</w:t>
      </w:r>
    </w:p>
    <w:p w:rsidR="009E699B" w:rsidRPr="00DE40E4" w:rsidRDefault="009E699B" w:rsidP="00CD0C16">
      <w:pPr>
        <w:pStyle w:val="BodyText"/>
      </w:pPr>
      <w:r w:rsidRPr="00DE40E4">
        <w:t>PERTH WA 6844</w:t>
      </w:r>
    </w:p>
    <w:p w:rsidR="009E699B" w:rsidRPr="0022097B" w:rsidRDefault="009E699B" w:rsidP="00197E95">
      <w:pPr>
        <w:pStyle w:val="BodyText-nospacebelow"/>
      </w:pPr>
      <w:r>
        <w:t>Tel: (08) 6551 87</w:t>
      </w:r>
      <w:r w:rsidRPr="0022097B">
        <w:t>00</w:t>
      </w:r>
    </w:p>
    <w:p w:rsidR="009E699B" w:rsidRPr="0022097B" w:rsidRDefault="009E699B" w:rsidP="00197E95">
      <w:pPr>
        <w:pStyle w:val="BodyText-nospacebelow"/>
      </w:pPr>
      <w:r>
        <w:t>Fax: (08) 6552</w:t>
      </w:r>
      <w:r w:rsidRPr="0022097B">
        <w:t xml:space="preserve"> 1555</w:t>
      </w:r>
    </w:p>
    <w:p w:rsidR="009E699B" w:rsidRPr="0022097B" w:rsidRDefault="009E699B" w:rsidP="00CD0C16">
      <w:pPr>
        <w:pStyle w:val="BodyText"/>
      </w:pPr>
      <w:proofErr w:type="spellStart"/>
      <w:r w:rsidRPr="0022097B">
        <w:t>Fre</w:t>
      </w:r>
      <w:r>
        <w:t>e</w:t>
      </w:r>
      <w:r w:rsidRPr="0022097B">
        <w:t>call</w:t>
      </w:r>
      <w:proofErr w:type="spellEnd"/>
      <w:r w:rsidRPr="0022097B">
        <w:t>: 1800 620 511 (Country Only)</w:t>
      </w:r>
    </w:p>
    <w:p w:rsidR="009E699B" w:rsidRPr="0022097B" w:rsidRDefault="009E699B" w:rsidP="00197E95">
      <w:pPr>
        <w:pStyle w:val="BodyText-nospacebelow"/>
      </w:pPr>
      <w:r w:rsidRPr="0022097B">
        <w:t xml:space="preserve">Email: </w:t>
      </w:r>
      <w:hyperlink r:id="rId15" w:history="1">
        <w:r w:rsidRPr="008945BC">
          <w:rPr>
            <w:rStyle w:val="Hyperlink"/>
          </w:rPr>
          <w:t>info@dlgc.wa.gov.au</w:t>
        </w:r>
      </w:hyperlink>
      <w:r>
        <w:t xml:space="preserve"> </w:t>
      </w:r>
    </w:p>
    <w:p w:rsidR="009E699B" w:rsidRPr="0022097B" w:rsidRDefault="009E699B" w:rsidP="00CD0C16">
      <w:pPr>
        <w:pStyle w:val="BodyText"/>
      </w:pPr>
      <w:r w:rsidRPr="0022097B">
        <w:t xml:space="preserve">Web: </w:t>
      </w:r>
      <w:hyperlink r:id="rId16" w:history="1">
        <w:r w:rsidRPr="008945BC">
          <w:rPr>
            <w:rStyle w:val="Hyperlink"/>
          </w:rPr>
          <w:t>www.dlgc.wa.gov.au</w:t>
        </w:r>
      </w:hyperlink>
      <w:r>
        <w:t xml:space="preserve"> </w:t>
      </w:r>
    </w:p>
    <w:p w:rsidR="009E699B" w:rsidRDefault="009E699B" w:rsidP="00CD0C16">
      <w:pPr>
        <w:pStyle w:val="BodyText"/>
      </w:pPr>
      <w:r w:rsidRPr="008B03A3">
        <w:t>Translating and Interpreting Service (TIS) - Tel: 13 14 50</w:t>
      </w:r>
    </w:p>
    <w:p w:rsidR="00073920" w:rsidRPr="00851D32" w:rsidRDefault="00073920" w:rsidP="00073920">
      <w:pPr>
        <w:pStyle w:val="BodyText"/>
      </w:pPr>
      <w:r w:rsidRPr="00851D32">
        <w:t xml:space="preserve">In line with the State Government requirements, the </w:t>
      </w:r>
      <w:r w:rsidR="009C0FF5">
        <w:t xml:space="preserve">Grants Commission </w:t>
      </w:r>
      <w:r w:rsidRPr="00851D32">
        <w:t>Annual Report 201</w:t>
      </w:r>
      <w:r w:rsidR="00D873AE">
        <w:t>5</w:t>
      </w:r>
      <w:r w:rsidRPr="00851D32">
        <w:t xml:space="preserve"> is published in an electronic format with minimal use of graphics and illustrations to help reduce download time. The Department of Local Government and Communities encourages the use of recycled paper if </w:t>
      </w:r>
      <w:r w:rsidR="00CA61FE">
        <w:t>this</w:t>
      </w:r>
      <w:r w:rsidRPr="00851D32">
        <w:t xml:space="preserve"> Annual Report is printed.</w:t>
      </w:r>
    </w:p>
    <w:p w:rsidR="006A0312" w:rsidRDefault="00CA61FE" w:rsidP="00073920">
      <w:pPr>
        <w:pStyle w:val="BodyText-nospacebelow"/>
      </w:pPr>
      <w:r>
        <w:t>All or</w:t>
      </w:r>
      <w:r w:rsidR="00073920" w:rsidRPr="00851D32">
        <w:t xml:space="preserve"> part of this document may be copied. Due recognition of the source would be appreciated. If you would like more information please contact the Department of Local Government and Communities.</w:t>
      </w:r>
      <w:r w:rsidR="006A0312">
        <w:br w:type="page"/>
      </w:r>
    </w:p>
    <w:p w:rsidR="00622F1E" w:rsidRDefault="00622F1E" w:rsidP="00197E95">
      <w:pPr>
        <w:pStyle w:val="Heading1"/>
        <w:sectPr w:rsidR="00622F1E" w:rsidSect="003120D7">
          <w:headerReference w:type="default" r:id="rId17"/>
          <w:footerReference w:type="default" r:id="rId18"/>
          <w:type w:val="continuous"/>
          <w:pgSz w:w="11906" w:h="16838"/>
          <w:pgMar w:top="1418" w:right="1418" w:bottom="1134" w:left="1418" w:header="709" w:footer="709" w:gutter="0"/>
          <w:cols w:space="708"/>
          <w:docGrid w:linePitch="360"/>
        </w:sectPr>
      </w:pPr>
      <w:bookmarkStart w:id="1" w:name="_Toc333403680"/>
      <w:bookmarkStart w:id="2" w:name="_Toc389206672"/>
      <w:bookmarkStart w:id="3" w:name="_Toc393717370"/>
      <w:bookmarkEnd w:id="0"/>
    </w:p>
    <w:p w:rsidR="009C0FF5" w:rsidRPr="004E5F5C" w:rsidRDefault="009C0FF5" w:rsidP="003120D7">
      <w:pPr>
        <w:pStyle w:val="Heading1"/>
      </w:pPr>
      <w:bookmarkStart w:id="4" w:name="_Toc412713556"/>
      <w:bookmarkStart w:id="5" w:name="_Toc434918424"/>
      <w:bookmarkEnd w:id="1"/>
      <w:bookmarkEnd w:id="2"/>
      <w:bookmarkEnd w:id="3"/>
      <w:r w:rsidRPr="004E5F5C">
        <w:lastRenderedPageBreak/>
        <w:t>Chairman’s Report</w:t>
      </w:r>
      <w:bookmarkEnd w:id="4"/>
      <w:bookmarkEnd w:id="5"/>
    </w:p>
    <w:p w:rsidR="00501568" w:rsidRDefault="00501568" w:rsidP="00501568">
      <w:pPr>
        <w:pStyle w:val="BodyText"/>
      </w:pPr>
      <w:r>
        <w:t xml:space="preserve">It is my privilege to present the 2014-15 Annual Report of the Western Australian </w:t>
      </w:r>
      <w:r w:rsidR="00CA61FE">
        <w:t>L</w:t>
      </w:r>
      <w:r>
        <w:t>ocal Government Grants Commission (the Commission).</w:t>
      </w:r>
    </w:p>
    <w:p w:rsidR="00501568" w:rsidRDefault="00501568" w:rsidP="00501568">
      <w:pPr>
        <w:pStyle w:val="BodyText"/>
      </w:pPr>
      <w:r>
        <w:t xml:space="preserve">After a busy few years explaining the changes to the methodology resulting from the </w:t>
      </w:r>
      <w:r w:rsidR="00CA61FE">
        <w:t xml:space="preserve">methodology </w:t>
      </w:r>
      <w:r>
        <w:t xml:space="preserve">review, the Commission has now returned to its normal schedule, visiting every local government over a </w:t>
      </w:r>
      <w:r w:rsidR="00CA61FE">
        <w:t>five</w:t>
      </w:r>
      <w:r>
        <w:t xml:space="preserve"> year period. I would like to thank the 24 local governments who met with the Commission in 2014-15 and made us feel very welcome. The hearings were constructive and those local governments that made submissions received feedback after the publication of the final grants. </w:t>
      </w:r>
    </w:p>
    <w:p w:rsidR="00501568" w:rsidRDefault="00501568" w:rsidP="00501568">
      <w:pPr>
        <w:pStyle w:val="BodyText"/>
      </w:pPr>
      <w:r>
        <w:t>Of note, the Commission was able to visit the Shire of Ngaanyatjarraku which</w:t>
      </w:r>
      <w:r w:rsidR="00CA61FE">
        <w:t>,</w:t>
      </w:r>
      <w:r>
        <w:t xml:space="preserve"> due to budgetary and logistical issues</w:t>
      </w:r>
      <w:r w:rsidR="00CA61FE">
        <w:t>,</w:t>
      </w:r>
      <w:r>
        <w:t xml:space="preserve"> had not </w:t>
      </w:r>
      <w:r w:rsidR="00CA61FE">
        <w:t>hosted</w:t>
      </w:r>
      <w:r>
        <w:t xml:space="preserve"> a hearing for a number of years. It was a positive exp</w:t>
      </w:r>
      <w:r w:rsidR="00CA61FE">
        <w:t>erience being able to meet the c</w:t>
      </w:r>
      <w:r>
        <w:t>ouncillors and Chief Executive Officer on their own "turf" and to therefore gain a better understanding of the significant difficulties such a remote local government can face. Meeting local governments within their own surroundings provides t</w:t>
      </w:r>
      <w:r w:rsidR="00CA61FE">
        <w:t>he most valuable experience to c</w:t>
      </w:r>
      <w:r>
        <w:t>ommissioners who are able to use the knowledge gained when considering the grant allocations to local governments.</w:t>
      </w:r>
    </w:p>
    <w:p w:rsidR="00501568" w:rsidRDefault="00501568" w:rsidP="00501568">
      <w:pPr>
        <w:pStyle w:val="BodyText"/>
      </w:pPr>
      <w:r>
        <w:t>The Commission has continued to review and evolve the methodology to deliver the most equitable distribution of the Financial Assistance Grants across the 138 local governments in WA. It has undertaken a significant amount of work around the issue of non-resident</w:t>
      </w:r>
      <w:r w:rsidR="00446B7F">
        <w:t xml:space="preserve"> population</w:t>
      </w:r>
      <w:r>
        <w:t xml:space="preserve"> impacts on service delivery and will continue this work in 2015-16. </w:t>
      </w:r>
    </w:p>
    <w:p w:rsidR="00501568" w:rsidRDefault="00501568" w:rsidP="00501568">
      <w:pPr>
        <w:pStyle w:val="BodyText"/>
      </w:pPr>
      <w:r>
        <w:t>I extend my thanks to past and present members of the Commission for their continued contribution and to the staff who continue to work tirelessly supporting the Commission.</w:t>
      </w:r>
    </w:p>
    <w:p w:rsidR="00501568" w:rsidRDefault="00501568" w:rsidP="00501568">
      <w:pPr>
        <w:pStyle w:val="BodyText"/>
        <w:spacing w:after="120" w:line="240" w:lineRule="auto"/>
      </w:pPr>
      <w:bookmarkStart w:id="6" w:name="_GoBack"/>
      <w:bookmarkEnd w:id="6"/>
    </w:p>
    <w:p w:rsidR="00501568" w:rsidRDefault="00501568" w:rsidP="00501568">
      <w:pPr>
        <w:pStyle w:val="BodyText-nospacebelow"/>
      </w:pPr>
      <w:r>
        <w:t>Linton Reynolds</w:t>
      </w:r>
    </w:p>
    <w:p w:rsidR="00501568" w:rsidRDefault="00501568" w:rsidP="00501568">
      <w:pPr>
        <w:pStyle w:val="BodyText-nospacebelow"/>
      </w:pPr>
      <w:r>
        <w:t>Chairman</w:t>
      </w:r>
    </w:p>
    <w:p w:rsidR="00501568" w:rsidRDefault="00501568" w:rsidP="00501568">
      <w:pPr>
        <w:pStyle w:val="BodyText-nospacebelow"/>
      </w:pPr>
      <w:r>
        <w:t>WA Local Government Grants Commission</w:t>
      </w:r>
    </w:p>
    <w:p w:rsidR="009C0FF5" w:rsidRDefault="009C0FF5" w:rsidP="009C0FF5">
      <w:pPr>
        <w:pStyle w:val="BodyText-nospacebelow"/>
      </w:pPr>
      <w:r>
        <w:br w:type="page"/>
      </w:r>
    </w:p>
    <w:sdt>
      <w:sdtPr>
        <w:rPr>
          <w:rFonts w:ascii="Arial" w:eastAsiaTheme="minorHAnsi" w:hAnsi="Arial" w:cs="Arial"/>
          <w:b w:val="0"/>
          <w:bCs w:val="0"/>
          <w:color w:val="58585B"/>
          <w:sz w:val="24"/>
          <w:szCs w:val="24"/>
          <w:lang w:val="en-AU" w:eastAsia="en-AU"/>
        </w:rPr>
        <w:id w:val="-1494948818"/>
        <w:docPartObj>
          <w:docPartGallery w:val="Table of Contents"/>
          <w:docPartUnique/>
        </w:docPartObj>
      </w:sdtPr>
      <w:sdtEndPr>
        <w:rPr>
          <w:noProof/>
        </w:rPr>
      </w:sdtEndPr>
      <w:sdtContent>
        <w:p w:rsidR="00672D56" w:rsidRDefault="00672D56" w:rsidP="003120D7">
          <w:pPr>
            <w:pStyle w:val="TOCHeading"/>
            <w:spacing w:before="100"/>
          </w:pPr>
          <w:r>
            <w:t>Contents</w:t>
          </w:r>
        </w:p>
        <w:p w:rsidR="00F21B9E" w:rsidRDefault="00672D56">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434918424" w:history="1">
            <w:r w:rsidR="00F21B9E" w:rsidRPr="00F81F74">
              <w:rPr>
                <w:rStyle w:val="Hyperlink"/>
              </w:rPr>
              <w:t>Chairman’s Report</w:t>
            </w:r>
            <w:r w:rsidR="00F21B9E">
              <w:rPr>
                <w:webHidden/>
              </w:rPr>
              <w:tab/>
            </w:r>
            <w:r w:rsidR="00F21B9E">
              <w:rPr>
                <w:webHidden/>
              </w:rPr>
              <w:fldChar w:fldCharType="begin"/>
            </w:r>
            <w:r w:rsidR="00F21B9E">
              <w:rPr>
                <w:webHidden/>
              </w:rPr>
              <w:instrText xml:space="preserve"> PAGEREF _Toc434918424 \h </w:instrText>
            </w:r>
            <w:r w:rsidR="00F21B9E">
              <w:rPr>
                <w:webHidden/>
              </w:rPr>
            </w:r>
            <w:r w:rsidR="00F21B9E">
              <w:rPr>
                <w:webHidden/>
              </w:rPr>
              <w:fldChar w:fldCharType="separate"/>
            </w:r>
            <w:r w:rsidR="00250DE1">
              <w:rPr>
                <w:webHidden/>
              </w:rPr>
              <w:t>3</w:t>
            </w:r>
            <w:r w:rsidR="00F21B9E">
              <w:rPr>
                <w:webHidden/>
              </w:rPr>
              <w:fldChar w:fldCharType="end"/>
            </w:r>
          </w:hyperlink>
        </w:p>
        <w:p w:rsidR="00F21B9E" w:rsidRDefault="00FF2AF3">
          <w:pPr>
            <w:pStyle w:val="TOC1"/>
            <w:rPr>
              <w:rFonts w:asciiTheme="minorHAnsi" w:eastAsiaTheme="minorEastAsia" w:hAnsiTheme="minorHAnsi" w:cstheme="minorBidi"/>
              <w:b w:val="0"/>
              <w:color w:val="auto"/>
              <w:sz w:val="22"/>
              <w:szCs w:val="22"/>
            </w:rPr>
          </w:pPr>
          <w:hyperlink w:anchor="_Toc434918425" w:history="1">
            <w:r w:rsidR="00F21B9E" w:rsidRPr="00F81F74">
              <w:rPr>
                <w:rStyle w:val="Hyperlink"/>
              </w:rPr>
              <w:t>The Commission</w:t>
            </w:r>
            <w:r w:rsidR="00F21B9E">
              <w:rPr>
                <w:webHidden/>
              </w:rPr>
              <w:tab/>
            </w:r>
            <w:r w:rsidR="00F21B9E">
              <w:rPr>
                <w:webHidden/>
              </w:rPr>
              <w:fldChar w:fldCharType="begin"/>
            </w:r>
            <w:r w:rsidR="00F21B9E">
              <w:rPr>
                <w:webHidden/>
              </w:rPr>
              <w:instrText xml:space="preserve"> PAGEREF _Toc434918425 \h </w:instrText>
            </w:r>
            <w:r w:rsidR="00F21B9E">
              <w:rPr>
                <w:webHidden/>
              </w:rPr>
            </w:r>
            <w:r w:rsidR="00F21B9E">
              <w:rPr>
                <w:webHidden/>
              </w:rPr>
              <w:fldChar w:fldCharType="separate"/>
            </w:r>
            <w:r w:rsidR="00250DE1">
              <w:rPr>
                <w:webHidden/>
              </w:rPr>
              <w:t>5</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26" w:history="1">
            <w:r w:rsidR="00F21B9E" w:rsidRPr="00F81F74">
              <w:rPr>
                <w:rStyle w:val="Hyperlink"/>
              </w:rPr>
              <w:t>Constitution and Role</w:t>
            </w:r>
            <w:r w:rsidR="00F21B9E">
              <w:rPr>
                <w:webHidden/>
              </w:rPr>
              <w:tab/>
            </w:r>
            <w:r w:rsidR="00F21B9E">
              <w:rPr>
                <w:webHidden/>
              </w:rPr>
              <w:fldChar w:fldCharType="begin"/>
            </w:r>
            <w:r w:rsidR="00F21B9E">
              <w:rPr>
                <w:webHidden/>
              </w:rPr>
              <w:instrText xml:space="preserve"> PAGEREF _Toc434918426 \h </w:instrText>
            </w:r>
            <w:r w:rsidR="00F21B9E">
              <w:rPr>
                <w:webHidden/>
              </w:rPr>
            </w:r>
            <w:r w:rsidR="00F21B9E">
              <w:rPr>
                <w:webHidden/>
              </w:rPr>
              <w:fldChar w:fldCharType="separate"/>
            </w:r>
            <w:r w:rsidR="00250DE1">
              <w:rPr>
                <w:webHidden/>
              </w:rPr>
              <w:t>5</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27" w:history="1">
            <w:r w:rsidR="00F21B9E" w:rsidRPr="00F81F74">
              <w:rPr>
                <w:rStyle w:val="Hyperlink"/>
              </w:rPr>
              <w:t>Membership of the Commission</w:t>
            </w:r>
            <w:r w:rsidR="00F21B9E">
              <w:rPr>
                <w:webHidden/>
              </w:rPr>
              <w:tab/>
            </w:r>
            <w:r w:rsidR="00F21B9E">
              <w:rPr>
                <w:webHidden/>
              </w:rPr>
              <w:fldChar w:fldCharType="begin"/>
            </w:r>
            <w:r w:rsidR="00F21B9E">
              <w:rPr>
                <w:webHidden/>
              </w:rPr>
              <w:instrText xml:space="preserve"> PAGEREF _Toc434918427 \h </w:instrText>
            </w:r>
            <w:r w:rsidR="00F21B9E">
              <w:rPr>
                <w:webHidden/>
              </w:rPr>
            </w:r>
            <w:r w:rsidR="00F21B9E">
              <w:rPr>
                <w:webHidden/>
              </w:rPr>
              <w:fldChar w:fldCharType="separate"/>
            </w:r>
            <w:r w:rsidR="00250DE1">
              <w:rPr>
                <w:webHidden/>
              </w:rPr>
              <w:t>6</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28" w:history="1">
            <w:r w:rsidR="00F21B9E" w:rsidRPr="00F81F74">
              <w:rPr>
                <w:rStyle w:val="Hyperlink"/>
              </w:rPr>
              <w:t>Member Profiles (as at 31 August 2015)</w:t>
            </w:r>
            <w:r w:rsidR="00F21B9E">
              <w:rPr>
                <w:webHidden/>
              </w:rPr>
              <w:tab/>
            </w:r>
            <w:r w:rsidR="00F21B9E">
              <w:rPr>
                <w:webHidden/>
              </w:rPr>
              <w:fldChar w:fldCharType="begin"/>
            </w:r>
            <w:r w:rsidR="00F21B9E">
              <w:rPr>
                <w:webHidden/>
              </w:rPr>
              <w:instrText xml:space="preserve"> PAGEREF _Toc434918428 \h </w:instrText>
            </w:r>
            <w:r w:rsidR="00F21B9E">
              <w:rPr>
                <w:webHidden/>
              </w:rPr>
            </w:r>
            <w:r w:rsidR="00F21B9E">
              <w:rPr>
                <w:webHidden/>
              </w:rPr>
              <w:fldChar w:fldCharType="separate"/>
            </w:r>
            <w:r w:rsidR="00250DE1">
              <w:rPr>
                <w:webHidden/>
              </w:rPr>
              <w:t>7</w:t>
            </w:r>
            <w:r w:rsidR="00F21B9E">
              <w:rPr>
                <w:webHidden/>
              </w:rPr>
              <w:fldChar w:fldCharType="end"/>
            </w:r>
          </w:hyperlink>
        </w:p>
        <w:p w:rsidR="00F21B9E" w:rsidRDefault="00FF2AF3">
          <w:pPr>
            <w:pStyle w:val="TOC1"/>
            <w:rPr>
              <w:rFonts w:asciiTheme="minorHAnsi" w:eastAsiaTheme="minorEastAsia" w:hAnsiTheme="minorHAnsi" w:cstheme="minorBidi"/>
              <w:b w:val="0"/>
              <w:color w:val="auto"/>
              <w:sz w:val="22"/>
              <w:szCs w:val="22"/>
            </w:rPr>
          </w:pPr>
          <w:hyperlink w:anchor="_Toc434918429" w:history="1">
            <w:r w:rsidR="00F21B9E" w:rsidRPr="00F81F74">
              <w:rPr>
                <w:rStyle w:val="Hyperlink"/>
              </w:rPr>
              <w:t>The Year in Review</w:t>
            </w:r>
            <w:r w:rsidR="00F21B9E">
              <w:rPr>
                <w:webHidden/>
              </w:rPr>
              <w:tab/>
            </w:r>
            <w:r w:rsidR="00F21B9E">
              <w:rPr>
                <w:webHidden/>
              </w:rPr>
              <w:fldChar w:fldCharType="begin"/>
            </w:r>
            <w:r w:rsidR="00F21B9E">
              <w:rPr>
                <w:webHidden/>
              </w:rPr>
              <w:instrText xml:space="preserve"> PAGEREF _Toc434918429 \h </w:instrText>
            </w:r>
            <w:r w:rsidR="00F21B9E">
              <w:rPr>
                <w:webHidden/>
              </w:rPr>
            </w:r>
            <w:r w:rsidR="00F21B9E">
              <w:rPr>
                <w:webHidden/>
              </w:rPr>
              <w:fldChar w:fldCharType="separate"/>
            </w:r>
            <w:r w:rsidR="00250DE1">
              <w:rPr>
                <w:webHidden/>
              </w:rPr>
              <w:t>8</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0" w:history="1">
            <w:r w:rsidR="00F21B9E" w:rsidRPr="00F81F74">
              <w:rPr>
                <w:rStyle w:val="Hyperlink"/>
              </w:rPr>
              <w:t>Financial Assistance Grants: 2015-16 Grant Allocations</w:t>
            </w:r>
            <w:r w:rsidR="00F21B9E">
              <w:rPr>
                <w:webHidden/>
              </w:rPr>
              <w:tab/>
            </w:r>
            <w:r w:rsidR="00F21B9E">
              <w:rPr>
                <w:webHidden/>
              </w:rPr>
              <w:fldChar w:fldCharType="begin"/>
            </w:r>
            <w:r w:rsidR="00F21B9E">
              <w:rPr>
                <w:webHidden/>
              </w:rPr>
              <w:instrText xml:space="preserve"> PAGEREF _Toc434918430 \h </w:instrText>
            </w:r>
            <w:r w:rsidR="00F21B9E">
              <w:rPr>
                <w:webHidden/>
              </w:rPr>
            </w:r>
            <w:r w:rsidR="00F21B9E">
              <w:rPr>
                <w:webHidden/>
              </w:rPr>
              <w:fldChar w:fldCharType="separate"/>
            </w:r>
            <w:r w:rsidR="00250DE1">
              <w:rPr>
                <w:webHidden/>
              </w:rPr>
              <w:t>8</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1" w:history="1">
            <w:r w:rsidR="00F21B9E" w:rsidRPr="00F81F74">
              <w:rPr>
                <w:rStyle w:val="Hyperlink"/>
              </w:rPr>
              <w:t>Advance Payment of 2015-16 Financial Assistance Grants</w:t>
            </w:r>
            <w:r w:rsidR="00F21B9E">
              <w:rPr>
                <w:webHidden/>
              </w:rPr>
              <w:tab/>
            </w:r>
            <w:r w:rsidR="00F21B9E">
              <w:rPr>
                <w:webHidden/>
              </w:rPr>
              <w:fldChar w:fldCharType="begin"/>
            </w:r>
            <w:r w:rsidR="00F21B9E">
              <w:rPr>
                <w:webHidden/>
              </w:rPr>
              <w:instrText xml:space="preserve"> PAGEREF _Toc434918431 \h </w:instrText>
            </w:r>
            <w:r w:rsidR="00F21B9E">
              <w:rPr>
                <w:webHidden/>
              </w:rPr>
            </w:r>
            <w:r w:rsidR="00F21B9E">
              <w:rPr>
                <w:webHidden/>
              </w:rPr>
              <w:fldChar w:fldCharType="separate"/>
            </w:r>
            <w:r w:rsidR="00250DE1">
              <w:rPr>
                <w:webHidden/>
              </w:rPr>
              <w:t>9</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2" w:history="1">
            <w:r w:rsidR="00F21B9E" w:rsidRPr="00F81F74">
              <w:rPr>
                <w:rStyle w:val="Hyperlink"/>
              </w:rPr>
              <w:t>General Purpose Grants - Indexation Pause</w:t>
            </w:r>
            <w:r w:rsidR="00F21B9E">
              <w:rPr>
                <w:webHidden/>
              </w:rPr>
              <w:tab/>
            </w:r>
            <w:r w:rsidR="00F21B9E">
              <w:rPr>
                <w:webHidden/>
              </w:rPr>
              <w:fldChar w:fldCharType="begin"/>
            </w:r>
            <w:r w:rsidR="00F21B9E">
              <w:rPr>
                <w:webHidden/>
              </w:rPr>
              <w:instrText xml:space="preserve"> PAGEREF _Toc434918432 \h </w:instrText>
            </w:r>
            <w:r w:rsidR="00F21B9E">
              <w:rPr>
                <w:webHidden/>
              </w:rPr>
            </w:r>
            <w:r w:rsidR="00F21B9E">
              <w:rPr>
                <w:webHidden/>
              </w:rPr>
              <w:fldChar w:fldCharType="separate"/>
            </w:r>
            <w:r w:rsidR="00250DE1">
              <w:rPr>
                <w:webHidden/>
              </w:rPr>
              <w:t>9</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3" w:history="1">
            <w:r w:rsidR="00F21B9E" w:rsidRPr="00F81F74">
              <w:rPr>
                <w:rStyle w:val="Hyperlink"/>
              </w:rPr>
              <w:t>Refinements to the Methodology for 2015</w:t>
            </w:r>
            <w:r w:rsidR="00CA61FE">
              <w:rPr>
                <w:rStyle w:val="Hyperlink"/>
              </w:rPr>
              <w:t>-</w:t>
            </w:r>
            <w:r w:rsidR="00F21B9E" w:rsidRPr="00F81F74">
              <w:rPr>
                <w:rStyle w:val="Hyperlink"/>
              </w:rPr>
              <w:t>16</w:t>
            </w:r>
            <w:r w:rsidR="00F21B9E">
              <w:rPr>
                <w:webHidden/>
              </w:rPr>
              <w:tab/>
            </w:r>
            <w:r w:rsidR="00F21B9E">
              <w:rPr>
                <w:webHidden/>
              </w:rPr>
              <w:fldChar w:fldCharType="begin"/>
            </w:r>
            <w:r w:rsidR="00F21B9E">
              <w:rPr>
                <w:webHidden/>
              </w:rPr>
              <w:instrText xml:space="preserve"> PAGEREF _Toc434918433 \h </w:instrText>
            </w:r>
            <w:r w:rsidR="00F21B9E">
              <w:rPr>
                <w:webHidden/>
              </w:rPr>
            </w:r>
            <w:r w:rsidR="00F21B9E">
              <w:rPr>
                <w:webHidden/>
              </w:rPr>
              <w:fldChar w:fldCharType="separate"/>
            </w:r>
            <w:r w:rsidR="00250DE1">
              <w:rPr>
                <w:webHidden/>
              </w:rPr>
              <w:t>12</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4" w:history="1">
            <w:r w:rsidR="00F21B9E" w:rsidRPr="00F81F74">
              <w:rPr>
                <w:rStyle w:val="Hyperlink"/>
              </w:rPr>
              <w:t>Minimum Grant Local Governments</w:t>
            </w:r>
            <w:r w:rsidR="00F21B9E">
              <w:rPr>
                <w:webHidden/>
              </w:rPr>
              <w:tab/>
            </w:r>
            <w:r w:rsidR="00F21B9E">
              <w:rPr>
                <w:webHidden/>
              </w:rPr>
              <w:fldChar w:fldCharType="begin"/>
            </w:r>
            <w:r w:rsidR="00F21B9E">
              <w:rPr>
                <w:webHidden/>
              </w:rPr>
              <w:instrText xml:space="preserve"> PAGEREF _Toc434918434 \h </w:instrText>
            </w:r>
            <w:r w:rsidR="00F21B9E">
              <w:rPr>
                <w:webHidden/>
              </w:rPr>
            </w:r>
            <w:r w:rsidR="00F21B9E">
              <w:rPr>
                <w:webHidden/>
              </w:rPr>
              <w:fldChar w:fldCharType="separate"/>
            </w:r>
            <w:r w:rsidR="00250DE1">
              <w:rPr>
                <w:webHidden/>
              </w:rPr>
              <w:t>16</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5" w:history="1">
            <w:r w:rsidR="00F21B9E" w:rsidRPr="00F81F74">
              <w:rPr>
                <w:rStyle w:val="Hyperlink"/>
              </w:rPr>
              <w:t>Amalgamation Policy</w:t>
            </w:r>
            <w:r w:rsidR="00F21B9E">
              <w:rPr>
                <w:webHidden/>
              </w:rPr>
              <w:tab/>
            </w:r>
            <w:r w:rsidR="00F21B9E">
              <w:rPr>
                <w:webHidden/>
              </w:rPr>
              <w:fldChar w:fldCharType="begin"/>
            </w:r>
            <w:r w:rsidR="00F21B9E">
              <w:rPr>
                <w:webHidden/>
              </w:rPr>
              <w:instrText xml:space="preserve"> PAGEREF _Toc434918435 \h </w:instrText>
            </w:r>
            <w:r w:rsidR="00F21B9E">
              <w:rPr>
                <w:webHidden/>
              </w:rPr>
            </w:r>
            <w:r w:rsidR="00F21B9E">
              <w:rPr>
                <w:webHidden/>
              </w:rPr>
              <w:fldChar w:fldCharType="separate"/>
            </w:r>
            <w:r w:rsidR="00250DE1">
              <w:rPr>
                <w:webHidden/>
              </w:rPr>
              <w:t>16</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6" w:history="1">
            <w:r w:rsidR="00F21B9E" w:rsidRPr="00F81F74">
              <w:rPr>
                <w:rStyle w:val="Hyperlink"/>
              </w:rPr>
              <w:t>Grants Determination Process</w:t>
            </w:r>
            <w:r w:rsidR="00F21B9E">
              <w:rPr>
                <w:webHidden/>
              </w:rPr>
              <w:tab/>
            </w:r>
            <w:r w:rsidR="00F21B9E">
              <w:rPr>
                <w:webHidden/>
              </w:rPr>
              <w:fldChar w:fldCharType="begin"/>
            </w:r>
            <w:r w:rsidR="00F21B9E">
              <w:rPr>
                <w:webHidden/>
              </w:rPr>
              <w:instrText xml:space="preserve"> PAGEREF _Toc434918436 \h </w:instrText>
            </w:r>
            <w:r w:rsidR="00F21B9E">
              <w:rPr>
                <w:webHidden/>
              </w:rPr>
            </w:r>
            <w:r w:rsidR="00F21B9E">
              <w:rPr>
                <w:webHidden/>
              </w:rPr>
              <w:fldChar w:fldCharType="separate"/>
            </w:r>
            <w:r w:rsidR="00250DE1">
              <w:rPr>
                <w:webHidden/>
              </w:rPr>
              <w:t>17</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7" w:history="1">
            <w:r w:rsidR="00F21B9E" w:rsidRPr="00F81F74">
              <w:rPr>
                <w:rStyle w:val="Hyperlink"/>
              </w:rPr>
              <w:t>Publication of Grant Calculations</w:t>
            </w:r>
            <w:r w:rsidR="00F21B9E">
              <w:rPr>
                <w:webHidden/>
              </w:rPr>
              <w:tab/>
            </w:r>
            <w:r w:rsidR="00F21B9E">
              <w:rPr>
                <w:webHidden/>
              </w:rPr>
              <w:fldChar w:fldCharType="begin"/>
            </w:r>
            <w:r w:rsidR="00F21B9E">
              <w:rPr>
                <w:webHidden/>
              </w:rPr>
              <w:instrText xml:space="preserve"> PAGEREF _Toc434918437 \h </w:instrText>
            </w:r>
            <w:r w:rsidR="00F21B9E">
              <w:rPr>
                <w:webHidden/>
              </w:rPr>
            </w:r>
            <w:r w:rsidR="00F21B9E">
              <w:rPr>
                <w:webHidden/>
              </w:rPr>
              <w:fldChar w:fldCharType="separate"/>
            </w:r>
            <w:r w:rsidR="00250DE1">
              <w:rPr>
                <w:webHidden/>
              </w:rPr>
              <w:t>17</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8" w:history="1">
            <w:r w:rsidR="00F21B9E" w:rsidRPr="00F81F74">
              <w:rPr>
                <w:rStyle w:val="Hyperlink"/>
              </w:rPr>
              <w:t>Public and Special Hearings</w:t>
            </w:r>
            <w:r w:rsidR="00F21B9E">
              <w:rPr>
                <w:webHidden/>
              </w:rPr>
              <w:tab/>
            </w:r>
            <w:r w:rsidR="00F21B9E">
              <w:rPr>
                <w:webHidden/>
              </w:rPr>
              <w:fldChar w:fldCharType="begin"/>
            </w:r>
            <w:r w:rsidR="00F21B9E">
              <w:rPr>
                <w:webHidden/>
              </w:rPr>
              <w:instrText xml:space="preserve"> PAGEREF _Toc434918438 \h </w:instrText>
            </w:r>
            <w:r w:rsidR="00F21B9E">
              <w:rPr>
                <w:webHidden/>
              </w:rPr>
            </w:r>
            <w:r w:rsidR="00F21B9E">
              <w:rPr>
                <w:webHidden/>
              </w:rPr>
              <w:fldChar w:fldCharType="separate"/>
            </w:r>
            <w:r w:rsidR="00250DE1">
              <w:rPr>
                <w:webHidden/>
              </w:rPr>
              <w:t>17</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39" w:history="1">
            <w:r w:rsidR="00F21B9E" w:rsidRPr="00F81F74">
              <w:rPr>
                <w:rStyle w:val="Hyperlink"/>
              </w:rPr>
              <w:t>Submissions</w:t>
            </w:r>
            <w:r w:rsidR="00F21B9E">
              <w:rPr>
                <w:webHidden/>
              </w:rPr>
              <w:tab/>
            </w:r>
            <w:r w:rsidR="00F21B9E">
              <w:rPr>
                <w:webHidden/>
              </w:rPr>
              <w:fldChar w:fldCharType="begin"/>
            </w:r>
            <w:r w:rsidR="00F21B9E">
              <w:rPr>
                <w:webHidden/>
              </w:rPr>
              <w:instrText xml:space="preserve"> PAGEREF _Toc434918439 \h </w:instrText>
            </w:r>
            <w:r w:rsidR="00F21B9E">
              <w:rPr>
                <w:webHidden/>
              </w:rPr>
            </w:r>
            <w:r w:rsidR="00F21B9E">
              <w:rPr>
                <w:webHidden/>
              </w:rPr>
              <w:fldChar w:fldCharType="separate"/>
            </w:r>
            <w:r w:rsidR="00250DE1">
              <w:rPr>
                <w:webHidden/>
              </w:rPr>
              <w:t>19</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40" w:history="1">
            <w:r w:rsidR="00F21B9E" w:rsidRPr="00F81F74">
              <w:rPr>
                <w:rStyle w:val="Hyperlink"/>
              </w:rPr>
              <w:t>Grants to Indian Ocean Territories</w:t>
            </w:r>
            <w:r w:rsidR="00F21B9E">
              <w:rPr>
                <w:webHidden/>
              </w:rPr>
              <w:tab/>
            </w:r>
            <w:r w:rsidR="00F21B9E">
              <w:rPr>
                <w:webHidden/>
              </w:rPr>
              <w:fldChar w:fldCharType="begin"/>
            </w:r>
            <w:r w:rsidR="00F21B9E">
              <w:rPr>
                <w:webHidden/>
              </w:rPr>
              <w:instrText xml:space="preserve"> PAGEREF _Toc434918440 \h </w:instrText>
            </w:r>
            <w:r w:rsidR="00F21B9E">
              <w:rPr>
                <w:webHidden/>
              </w:rPr>
            </w:r>
            <w:r w:rsidR="00F21B9E">
              <w:rPr>
                <w:webHidden/>
              </w:rPr>
              <w:fldChar w:fldCharType="separate"/>
            </w:r>
            <w:r w:rsidR="00250DE1">
              <w:rPr>
                <w:webHidden/>
              </w:rPr>
              <w:t>20</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41" w:history="1">
            <w:r w:rsidR="00F21B9E" w:rsidRPr="00F81F74">
              <w:rPr>
                <w:rStyle w:val="Hyperlink"/>
              </w:rPr>
              <w:t>Local Road Funding</w:t>
            </w:r>
            <w:r w:rsidR="00F21B9E">
              <w:rPr>
                <w:webHidden/>
              </w:rPr>
              <w:tab/>
            </w:r>
            <w:r w:rsidR="00F21B9E">
              <w:rPr>
                <w:webHidden/>
              </w:rPr>
              <w:fldChar w:fldCharType="begin"/>
            </w:r>
            <w:r w:rsidR="00F21B9E">
              <w:rPr>
                <w:webHidden/>
              </w:rPr>
              <w:instrText xml:space="preserve"> PAGEREF _Toc434918441 \h </w:instrText>
            </w:r>
            <w:r w:rsidR="00F21B9E">
              <w:rPr>
                <w:webHidden/>
              </w:rPr>
            </w:r>
            <w:r w:rsidR="00F21B9E">
              <w:rPr>
                <w:webHidden/>
              </w:rPr>
              <w:fldChar w:fldCharType="separate"/>
            </w:r>
            <w:r w:rsidR="00250DE1">
              <w:rPr>
                <w:webHidden/>
              </w:rPr>
              <w:t>21</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42" w:history="1">
            <w:r w:rsidR="00F21B9E" w:rsidRPr="00F81F74">
              <w:rPr>
                <w:rStyle w:val="Hyperlink"/>
              </w:rPr>
              <w:t>Special Projects: Roads Servicing Aboriginal Communities</w:t>
            </w:r>
            <w:r w:rsidR="00F21B9E">
              <w:rPr>
                <w:webHidden/>
              </w:rPr>
              <w:tab/>
            </w:r>
            <w:r w:rsidR="00F21B9E">
              <w:rPr>
                <w:webHidden/>
              </w:rPr>
              <w:fldChar w:fldCharType="begin"/>
            </w:r>
            <w:r w:rsidR="00F21B9E">
              <w:rPr>
                <w:webHidden/>
              </w:rPr>
              <w:instrText xml:space="preserve"> PAGEREF _Toc434918442 \h </w:instrText>
            </w:r>
            <w:r w:rsidR="00F21B9E">
              <w:rPr>
                <w:webHidden/>
              </w:rPr>
            </w:r>
            <w:r w:rsidR="00F21B9E">
              <w:rPr>
                <w:webHidden/>
              </w:rPr>
              <w:fldChar w:fldCharType="separate"/>
            </w:r>
            <w:r w:rsidR="00250DE1">
              <w:rPr>
                <w:webHidden/>
              </w:rPr>
              <w:t>21</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43" w:history="1">
            <w:r w:rsidR="00F21B9E" w:rsidRPr="00F81F74">
              <w:rPr>
                <w:rStyle w:val="Hyperlink"/>
              </w:rPr>
              <w:t>Special Projects: Bridges</w:t>
            </w:r>
            <w:r w:rsidR="00F21B9E">
              <w:rPr>
                <w:webHidden/>
              </w:rPr>
              <w:tab/>
            </w:r>
            <w:r w:rsidR="00F21B9E">
              <w:rPr>
                <w:webHidden/>
              </w:rPr>
              <w:fldChar w:fldCharType="begin"/>
            </w:r>
            <w:r w:rsidR="00F21B9E">
              <w:rPr>
                <w:webHidden/>
              </w:rPr>
              <w:instrText xml:space="preserve"> PAGEREF _Toc434918443 \h </w:instrText>
            </w:r>
            <w:r w:rsidR="00F21B9E">
              <w:rPr>
                <w:webHidden/>
              </w:rPr>
            </w:r>
            <w:r w:rsidR="00F21B9E">
              <w:rPr>
                <w:webHidden/>
              </w:rPr>
              <w:fldChar w:fldCharType="separate"/>
            </w:r>
            <w:r w:rsidR="00250DE1">
              <w:rPr>
                <w:webHidden/>
              </w:rPr>
              <w:t>24</w:t>
            </w:r>
            <w:r w:rsidR="00F21B9E">
              <w:rPr>
                <w:webHidden/>
              </w:rPr>
              <w:fldChar w:fldCharType="end"/>
            </w:r>
          </w:hyperlink>
        </w:p>
        <w:p w:rsidR="00F21B9E" w:rsidRDefault="00FF2AF3">
          <w:pPr>
            <w:pStyle w:val="TOC2"/>
            <w:rPr>
              <w:rFonts w:asciiTheme="minorHAnsi" w:eastAsiaTheme="minorEastAsia" w:hAnsiTheme="minorHAnsi" w:cstheme="minorBidi"/>
              <w:color w:val="auto"/>
              <w:sz w:val="22"/>
              <w:szCs w:val="22"/>
            </w:rPr>
          </w:pPr>
          <w:hyperlink w:anchor="_Toc434918444" w:history="1">
            <w:r w:rsidR="00F21B9E" w:rsidRPr="00F81F74">
              <w:rPr>
                <w:rStyle w:val="Hyperlink"/>
              </w:rPr>
              <w:t>Distribution of the 93% Component</w:t>
            </w:r>
            <w:r w:rsidR="00F21B9E">
              <w:rPr>
                <w:webHidden/>
              </w:rPr>
              <w:tab/>
            </w:r>
            <w:r w:rsidR="00F21B9E">
              <w:rPr>
                <w:webHidden/>
              </w:rPr>
              <w:fldChar w:fldCharType="begin"/>
            </w:r>
            <w:r w:rsidR="00F21B9E">
              <w:rPr>
                <w:webHidden/>
              </w:rPr>
              <w:instrText xml:space="preserve"> PAGEREF _Toc434918444 \h </w:instrText>
            </w:r>
            <w:r w:rsidR="00F21B9E">
              <w:rPr>
                <w:webHidden/>
              </w:rPr>
            </w:r>
            <w:r w:rsidR="00F21B9E">
              <w:rPr>
                <w:webHidden/>
              </w:rPr>
              <w:fldChar w:fldCharType="separate"/>
            </w:r>
            <w:r w:rsidR="00250DE1">
              <w:rPr>
                <w:webHidden/>
              </w:rPr>
              <w:t>26</w:t>
            </w:r>
            <w:r w:rsidR="00F21B9E">
              <w:rPr>
                <w:webHidden/>
              </w:rPr>
              <w:fldChar w:fldCharType="end"/>
            </w:r>
          </w:hyperlink>
        </w:p>
        <w:p w:rsidR="00F21B9E" w:rsidRDefault="00FF2AF3">
          <w:pPr>
            <w:pStyle w:val="TOC1"/>
            <w:rPr>
              <w:rFonts w:asciiTheme="minorHAnsi" w:eastAsiaTheme="minorEastAsia" w:hAnsiTheme="minorHAnsi" w:cstheme="minorBidi"/>
              <w:b w:val="0"/>
              <w:color w:val="auto"/>
              <w:sz w:val="22"/>
              <w:szCs w:val="22"/>
            </w:rPr>
          </w:pPr>
          <w:hyperlink w:anchor="_Toc434918445" w:history="1">
            <w:r w:rsidR="00F21B9E" w:rsidRPr="00F81F74">
              <w:rPr>
                <w:rStyle w:val="Hyperlink"/>
              </w:rPr>
              <w:t>Schedule of General Purpose Grant</w:t>
            </w:r>
            <w:r w:rsidR="00F21B9E">
              <w:rPr>
                <w:webHidden/>
              </w:rPr>
              <w:tab/>
            </w:r>
            <w:r w:rsidR="00F21B9E">
              <w:rPr>
                <w:webHidden/>
              </w:rPr>
              <w:fldChar w:fldCharType="begin"/>
            </w:r>
            <w:r w:rsidR="00F21B9E">
              <w:rPr>
                <w:webHidden/>
              </w:rPr>
              <w:instrText xml:space="preserve"> PAGEREF _Toc434918445 \h </w:instrText>
            </w:r>
            <w:r w:rsidR="00F21B9E">
              <w:rPr>
                <w:webHidden/>
              </w:rPr>
            </w:r>
            <w:r w:rsidR="00F21B9E">
              <w:rPr>
                <w:webHidden/>
              </w:rPr>
              <w:fldChar w:fldCharType="separate"/>
            </w:r>
            <w:r w:rsidR="00250DE1">
              <w:rPr>
                <w:webHidden/>
              </w:rPr>
              <w:t>27</w:t>
            </w:r>
            <w:r w:rsidR="00F21B9E">
              <w:rPr>
                <w:webHidden/>
              </w:rPr>
              <w:fldChar w:fldCharType="end"/>
            </w:r>
          </w:hyperlink>
        </w:p>
        <w:p w:rsidR="00F21B9E" w:rsidRDefault="00FF2AF3">
          <w:pPr>
            <w:pStyle w:val="TOC1"/>
            <w:rPr>
              <w:rFonts w:asciiTheme="minorHAnsi" w:eastAsiaTheme="minorEastAsia" w:hAnsiTheme="minorHAnsi" w:cstheme="minorBidi"/>
              <w:b w:val="0"/>
              <w:color w:val="auto"/>
              <w:sz w:val="22"/>
              <w:szCs w:val="22"/>
            </w:rPr>
          </w:pPr>
          <w:hyperlink w:anchor="_Toc434918446" w:history="1">
            <w:r w:rsidR="00F21B9E" w:rsidRPr="00F81F74">
              <w:rPr>
                <w:rStyle w:val="Hyperlink"/>
              </w:rPr>
              <w:t>Schedule of Local Road Funding (Part One)</w:t>
            </w:r>
            <w:r w:rsidR="00F21B9E">
              <w:rPr>
                <w:webHidden/>
              </w:rPr>
              <w:tab/>
            </w:r>
            <w:r w:rsidR="00F21B9E">
              <w:rPr>
                <w:webHidden/>
              </w:rPr>
              <w:fldChar w:fldCharType="begin"/>
            </w:r>
            <w:r w:rsidR="00F21B9E">
              <w:rPr>
                <w:webHidden/>
              </w:rPr>
              <w:instrText xml:space="preserve"> PAGEREF _Toc434918446 \h </w:instrText>
            </w:r>
            <w:r w:rsidR="00F21B9E">
              <w:rPr>
                <w:webHidden/>
              </w:rPr>
            </w:r>
            <w:r w:rsidR="00F21B9E">
              <w:rPr>
                <w:webHidden/>
              </w:rPr>
              <w:fldChar w:fldCharType="separate"/>
            </w:r>
            <w:r w:rsidR="00250DE1">
              <w:rPr>
                <w:webHidden/>
              </w:rPr>
              <w:t>34</w:t>
            </w:r>
            <w:r w:rsidR="00F21B9E">
              <w:rPr>
                <w:webHidden/>
              </w:rPr>
              <w:fldChar w:fldCharType="end"/>
            </w:r>
          </w:hyperlink>
        </w:p>
        <w:p w:rsidR="00F21B9E" w:rsidRDefault="00FF2AF3">
          <w:pPr>
            <w:pStyle w:val="TOC1"/>
            <w:rPr>
              <w:rFonts w:asciiTheme="minorHAnsi" w:eastAsiaTheme="minorEastAsia" w:hAnsiTheme="minorHAnsi" w:cstheme="minorBidi"/>
              <w:b w:val="0"/>
              <w:color w:val="auto"/>
              <w:sz w:val="22"/>
              <w:szCs w:val="22"/>
            </w:rPr>
          </w:pPr>
          <w:hyperlink w:anchor="_Toc434918447" w:history="1">
            <w:r w:rsidR="00F21B9E" w:rsidRPr="00F81F74">
              <w:rPr>
                <w:rStyle w:val="Hyperlink"/>
              </w:rPr>
              <w:t>Schedule of Local Road Funding (Part Two)</w:t>
            </w:r>
            <w:r w:rsidR="00F21B9E">
              <w:rPr>
                <w:webHidden/>
              </w:rPr>
              <w:tab/>
            </w:r>
            <w:r w:rsidR="00F21B9E">
              <w:rPr>
                <w:webHidden/>
              </w:rPr>
              <w:fldChar w:fldCharType="begin"/>
            </w:r>
            <w:r w:rsidR="00F21B9E">
              <w:rPr>
                <w:webHidden/>
              </w:rPr>
              <w:instrText xml:space="preserve"> PAGEREF _Toc434918447 \h </w:instrText>
            </w:r>
            <w:r w:rsidR="00F21B9E">
              <w:rPr>
                <w:webHidden/>
              </w:rPr>
            </w:r>
            <w:r w:rsidR="00F21B9E">
              <w:rPr>
                <w:webHidden/>
              </w:rPr>
              <w:fldChar w:fldCharType="separate"/>
            </w:r>
            <w:r w:rsidR="00250DE1">
              <w:rPr>
                <w:webHidden/>
              </w:rPr>
              <w:t>41</w:t>
            </w:r>
            <w:r w:rsidR="00F21B9E">
              <w:rPr>
                <w:webHidden/>
              </w:rPr>
              <w:fldChar w:fldCharType="end"/>
            </w:r>
          </w:hyperlink>
        </w:p>
        <w:p w:rsidR="00672D56" w:rsidRDefault="00672D56">
          <w:r>
            <w:rPr>
              <w:b/>
              <w:bCs/>
              <w:noProof/>
            </w:rPr>
            <w:fldChar w:fldCharType="end"/>
          </w:r>
        </w:p>
      </w:sdtContent>
    </w:sdt>
    <w:p w:rsidR="009C0FF5" w:rsidRDefault="009C0FF5" w:rsidP="00672D56">
      <w:pPr>
        <w:pStyle w:val="TOCHeading"/>
      </w:pPr>
    </w:p>
    <w:p w:rsidR="009C0FF5" w:rsidRDefault="009C0FF5" w:rsidP="009C0FF5">
      <w:pPr>
        <w:pStyle w:val="BodyText-nospacebelow"/>
        <w:sectPr w:rsidR="009C0FF5" w:rsidSect="003120D7">
          <w:type w:val="continuous"/>
          <w:pgSz w:w="11906" w:h="16838"/>
          <w:pgMar w:top="1418" w:right="1418" w:bottom="1134" w:left="1418" w:header="709" w:footer="238" w:gutter="0"/>
          <w:cols w:space="708"/>
          <w:docGrid w:linePitch="360"/>
        </w:sectPr>
      </w:pPr>
    </w:p>
    <w:p w:rsidR="003120D7" w:rsidRDefault="003120D7" w:rsidP="00672D56">
      <w:pPr>
        <w:pStyle w:val="Heading1"/>
        <w:spacing w:before="0"/>
        <w:sectPr w:rsidR="003120D7" w:rsidSect="003120D7">
          <w:type w:val="continuous"/>
          <w:pgSz w:w="11906" w:h="16838"/>
          <w:pgMar w:top="1418" w:right="1418" w:bottom="1134" w:left="1418" w:header="708" w:footer="708" w:gutter="0"/>
          <w:cols w:space="708"/>
          <w:docGrid w:linePitch="360"/>
        </w:sectPr>
      </w:pPr>
      <w:bookmarkStart w:id="7" w:name="_Toc371434420"/>
      <w:bookmarkStart w:id="8" w:name="_Toc410647352"/>
      <w:bookmarkStart w:id="9" w:name="_Toc412713557"/>
    </w:p>
    <w:p w:rsidR="009C0FF5" w:rsidRPr="004E5F5C" w:rsidRDefault="009C0FF5" w:rsidP="00672D56">
      <w:pPr>
        <w:pStyle w:val="Heading1"/>
        <w:spacing w:before="0"/>
      </w:pPr>
      <w:bookmarkStart w:id="10" w:name="_Toc434918425"/>
      <w:r w:rsidRPr="004E5F5C">
        <w:lastRenderedPageBreak/>
        <w:t>The Commission</w:t>
      </w:r>
      <w:bookmarkEnd w:id="7"/>
      <w:bookmarkEnd w:id="8"/>
      <w:bookmarkEnd w:id="9"/>
      <w:bookmarkEnd w:id="10"/>
    </w:p>
    <w:p w:rsidR="009C0FF5" w:rsidRPr="004E5F5C" w:rsidRDefault="009C0FF5" w:rsidP="009C0FF5">
      <w:pPr>
        <w:pStyle w:val="Heading2"/>
      </w:pPr>
      <w:bookmarkStart w:id="11" w:name="_Toc371434421"/>
      <w:bookmarkStart w:id="12" w:name="_Toc410647353"/>
      <w:bookmarkStart w:id="13" w:name="_Toc412713558"/>
      <w:bookmarkStart w:id="14" w:name="_Toc434918426"/>
      <w:r w:rsidRPr="004E5F5C">
        <w:t>Constitution and Role</w:t>
      </w:r>
      <w:bookmarkEnd w:id="11"/>
      <w:bookmarkEnd w:id="12"/>
      <w:bookmarkEnd w:id="13"/>
      <w:bookmarkEnd w:id="14"/>
    </w:p>
    <w:p w:rsidR="009C0FF5" w:rsidRDefault="009C0FF5" w:rsidP="009C0FF5">
      <w:pPr>
        <w:pStyle w:val="BodyText"/>
      </w:pPr>
      <w:r>
        <w:t xml:space="preserve">The Commission is established under the </w:t>
      </w:r>
      <w:r w:rsidRPr="00E827A4">
        <w:rPr>
          <w:i/>
        </w:rPr>
        <w:t>Local Government Grants Act 1978</w:t>
      </w:r>
      <w:r>
        <w:t>. The membership comprises the chair, deputy chair and three other members representing local governments in Western Australia.</w:t>
      </w:r>
    </w:p>
    <w:p w:rsidR="009C0FF5" w:rsidRDefault="009C0FF5" w:rsidP="009C0FF5">
      <w:pPr>
        <w:pStyle w:val="BodyText"/>
      </w:pPr>
      <w:r>
        <w:t xml:space="preserve">The chair is appointed following nomination by the Minister for Local Government. </w:t>
      </w:r>
    </w:p>
    <w:p w:rsidR="009C0FF5" w:rsidRDefault="009C0FF5" w:rsidP="009C0FF5">
      <w:pPr>
        <w:pStyle w:val="BodyText"/>
      </w:pPr>
      <w:r>
        <w:t>The deputy chair is an officer of the Department of Local Government and Communities, nominated by the department’s Director General. The three other commissioners are elected members selected by the Minister from a panel of names submitted by the Western Australian Local Government Association.</w:t>
      </w:r>
    </w:p>
    <w:p w:rsidR="009C0FF5" w:rsidRDefault="009C0FF5" w:rsidP="009C0FF5">
      <w:pPr>
        <w:pStyle w:val="BodyText"/>
      </w:pPr>
      <w:r>
        <w:t>Every financial year, the Commonwealth Government provides advice on the level of funding available to local government</w:t>
      </w:r>
      <w:r w:rsidR="00CA61FE">
        <w:t>s</w:t>
      </w:r>
      <w:r>
        <w:t xml:space="preserve"> in Western Australia. The Commission then makes recommendations to the WA Minister for Local Government on the amount of funds to be allocated to each local government. The Commission is required to determine the General Purpose and Local Road Grants for all 138 local governments in Western Australia. Once approved, these recommendations are then forwarded to the Commonwealth Minister for Local Government for approval.</w:t>
      </w:r>
    </w:p>
    <w:p w:rsidR="009C0FF5" w:rsidRDefault="009C0FF5" w:rsidP="009C0FF5">
      <w:pPr>
        <w:pStyle w:val="BodyText"/>
      </w:pPr>
      <w:r>
        <w:t>Members of the Commission are required to consider the general interest of all local governments in the State when exercising their powers. The Commission met seven times during 201</w:t>
      </w:r>
      <w:r w:rsidR="00BC6F9D">
        <w:t>4</w:t>
      </w:r>
      <w:r>
        <w:t>-1</w:t>
      </w:r>
      <w:r w:rsidR="00BC6F9D">
        <w:t>5</w:t>
      </w:r>
      <w:r>
        <w:t>.</w:t>
      </w:r>
    </w:p>
    <w:p w:rsidR="009C0FF5" w:rsidRDefault="009C0FF5" w:rsidP="009C0FF5">
      <w:pPr>
        <w:pStyle w:val="Heading2"/>
      </w:pPr>
      <w:r>
        <w:br w:type="page"/>
      </w:r>
    </w:p>
    <w:p w:rsidR="009C0FF5" w:rsidRPr="00B87D4A" w:rsidRDefault="009C0FF5" w:rsidP="009C0FF5">
      <w:pPr>
        <w:pStyle w:val="Heading2"/>
      </w:pPr>
      <w:bookmarkStart w:id="15" w:name="_Toc371434422"/>
      <w:bookmarkStart w:id="16" w:name="_Toc410647354"/>
      <w:bookmarkStart w:id="17" w:name="_Toc412713559"/>
      <w:bookmarkStart w:id="18" w:name="_Toc434918427"/>
      <w:r w:rsidRPr="00B87D4A">
        <w:lastRenderedPageBreak/>
        <w:t>Membership of the Commission</w:t>
      </w:r>
      <w:bookmarkEnd w:id="15"/>
      <w:bookmarkEnd w:id="16"/>
      <w:bookmarkEnd w:id="17"/>
      <w:bookmarkEnd w:id="18"/>
    </w:p>
    <w:p w:rsidR="009C0FF5" w:rsidRDefault="009C0FF5" w:rsidP="009C0FF5">
      <w:pPr>
        <w:pStyle w:val="BodyText"/>
      </w:pPr>
      <w:r>
        <w:t>For the period 1 September 201</w:t>
      </w:r>
      <w:r w:rsidR="00BC6F9D">
        <w:t>4</w:t>
      </w:r>
      <w:r>
        <w:t xml:space="preserve"> to 31 August 201</w:t>
      </w:r>
      <w:r w:rsidR="00BC6F9D">
        <w:t>5</w:t>
      </w:r>
      <w:r>
        <w:t>, the members of the Western Australian Local Government Grants Commission were:</w:t>
      </w:r>
    </w:p>
    <w:p w:rsidR="009C0FF5" w:rsidRPr="004E5F5C" w:rsidRDefault="009C0FF5" w:rsidP="009C0FF5">
      <w:pPr>
        <w:pStyle w:val="BodyText-nospacebelow"/>
        <w:rPr>
          <w:b/>
        </w:rPr>
      </w:pPr>
      <w:bookmarkStart w:id="19" w:name="_Toc371423472"/>
      <w:bookmarkStart w:id="20" w:name="_Toc371434423"/>
      <w:r w:rsidRPr="004E5F5C">
        <w:rPr>
          <w:b/>
        </w:rPr>
        <w:t>Members:</w:t>
      </w:r>
      <w:bookmarkEnd w:id="19"/>
      <w:bookmarkEnd w:id="20"/>
    </w:p>
    <w:p w:rsidR="009C0FF5" w:rsidRPr="00593DA9" w:rsidRDefault="009C0FF5" w:rsidP="009C0FF5">
      <w:pPr>
        <w:pStyle w:val="BodyTextFirstIndent"/>
        <w:tabs>
          <w:tab w:val="left" w:pos="3402"/>
        </w:tabs>
        <w:spacing w:after="0"/>
        <w:ind w:firstLine="0"/>
      </w:pPr>
      <w:r w:rsidRPr="00593DA9">
        <w:t xml:space="preserve">Mr Linton Reynolds AM JP – Chairman (Term: 1 August 2011 </w:t>
      </w:r>
      <w:r>
        <w:t>to</w:t>
      </w:r>
      <w:r w:rsidRPr="00593DA9">
        <w:t xml:space="preserve"> 31 July 2016) </w:t>
      </w:r>
    </w:p>
    <w:p w:rsidR="009C0FF5" w:rsidRPr="004C17F1" w:rsidRDefault="009C0FF5" w:rsidP="009C0FF5">
      <w:pPr>
        <w:pStyle w:val="BodyTextFirstIndent"/>
        <w:tabs>
          <w:tab w:val="left" w:pos="3402"/>
        </w:tabs>
        <w:spacing w:after="0"/>
        <w:ind w:firstLine="0"/>
      </w:pPr>
      <w:r>
        <w:t>Mr Brad Jolly – Deputy Chairman (</w:t>
      </w:r>
      <w:r w:rsidRPr="004C17F1">
        <w:t xml:space="preserve">Term: 1 August 2014 </w:t>
      </w:r>
      <w:r>
        <w:t>to</w:t>
      </w:r>
      <w:r w:rsidRPr="004C17F1">
        <w:t xml:space="preserve"> 31 July 2017) </w:t>
      </w:r>
    </w:p>
    <w:p w:rsidR="009C0FF5" w:rsidRPr="004C17F1" w:rsidRDefault="009C0FF5" w:rsidP="009C0FF5">
      <w:pPr>
        <w:pStyle w:val="BodyTextFirstIndent"/>
        <w:tabs>
          <w:tab w:val="left" w:pos="3402"/>
        </w:tabs>
        <w:spacing w:after="0"/>
        <w:ind w:firstLine="0"/>
      </w:pPr>
      <w:bookmarkStart w:id="21" w:name="_Toc371423473"/>
      <w:bookmarkStart w:id="22" w:name="_Toc371434424"/>
      <w:r w:rsidRPr="004C17F1">
        <w:t xml:space="preserve">Cr Paul Omodei – Member (Term: 1 August 2014 </w:t>
      </w:r>
      <w:r>
        <w:t>to</w:t>
      </w:r>
      <w:r w:rsidRPr="004C17F1">
        <w:t xml:space="preserve"> 31 July 2017) </w:t>
      </w:r>
    </w:p>
    <w:p w:rsidR="009C0FF5" w:rsidRPr="004C17F1" w:rsidRDefault="009C0FF5" w:rsidP="009C0FF5">
      <w:pPr>
        <w:pStyle w:val="BodyTextFirstIndent"/>
        <w:tabs>
          <w:tab w:val="left" w:pos="3402"/>
        </w:tabs>
        <w:spacing w:after="0"/>
        <w:ind w:firstLine="0"/>
      </w:pPr>
      <w:r w:rsidRPr="004C17F1">
        <w:t xml:space="preserve">Mr Ian Carpenter – Member (Term: 1 August 2011 </w:t>
      </w:r>
      <w:r>
        <w:t>to</w:t>
      </w:r>
      <w:r w:rsidRPr="004C17F1">
        <w:t xml:space="preserve"> 31 July 2016) </w:t>
      </w:r>
    </w:p>
    <w:p w:rsidR="009C0FF5" w:rsidRPr="004C17F1" w:rsidRDefault="009C0FF5" w:rsidP="009C0FF5">
      <w:pPr>
        <w:pStyle w:val="BodyText"/>
      </w:pPr>
      <w:r w:rsidRPr="004C17F1">
        <w:t xml:space="preserve">Ms Carol Adams – Member (Term: 1 August 2014 </w:t>
      </w:r>
      <w:r>
        <w:t>to</w:t>
      </w:r>
      <w:r w:rsidRPr="004C17F1">
        <w:t xml:space="preserve"> 31 July 2017)</w:t>
      </w:r>
    </w:p>
    <w:p w:rsidR="009C0FF5" w:rsidRPr="004E5F5C" w:rsidRDefault="009C0FF5" w:rsidP="009C0FF5">
      <w:pPr>
        <w:pStyle w:val="BodyText-nospacebelow"/>
        <w:rPr>
          <w:b/>
        </w:rPr>
      </w:pPr>
      <w:r w:rsidRPr="004E5F5C">
        <w:rPr>
          <w:b/>
        </w:rPr>
        <w:t>Deputy Members:</w:t>
      </w:r>
      <w:bookmarkEnd w:id="21"/>
      <w:bookmarkEnd w:id="22"/>
    </w:p>
    <w:p w:rsidR="009C0FF5" w:rsidRPr="004C17F1" w:rsidRDefault="009C0FF5" w:rsidP="009C0FF5">
      <w:pPr>
        <w:pStyle w:val="BodyTextFirstIndent"/>
        <w:spacing w:after="0"/>
        <w:ind w:firstLine="0"/>
      </w:pPr>
      <w:r w:rsidRPr="004C17F1">
        <w:t xml:space="preserve">Mr Ross Earnshaw, Deputy to Mr Jolly (Term: 1 August 2014 </w:t>
      </w:r>
      <w:r>
        <w:t>to</w:t>
      </w:r>
      <w:r w:rsidRPr="004C17F1">
        <w:t xml:space="preserve"> 31 July 2017)</w:t>
      </w:r>
    </w:p>
    <w:p w:rsidR="009C0FF5" w:rsidRPr="004C17F1" w:rsidRDefault="009C0FF5" w:rsidP="009C0FF5">
      <w:pPr>
        <w:pStyle w:val="BodyTextFirstIndent"/>
        <w:spacing w:after="0"/>
        <w:ind w:firstLine="0"/>
      </w:pPr>
      <w:r w:rsidRPr="004C17F1">
        <w:t xml:space="preserve">Cr Pat Hooper, Deputy to Cr Omodei (Term: 1 August 2014 </w:t>
      </w:r>
      <w:r>
        <w:t>to</w:t>
      </w:r>
      <w:r w:rsidRPr="004C17F1">
        <w:t xml:space="preserve"> 31 July 2017)</w:t>
      </w:r>
    </w:p>
    <w:p w:rsidR="009C0FF5" w:rsidRPr="004C17F1" w:rsidRDefault="009C0FF5" w:rsidP="009C0FF5">
      <w:pPr>
        <w:pStyle w:val="BodyTextFirstIndent"/>
        <w:spacing w:after="0"/>
        <w:ind w:firstLine="0"/>
      </w:pPr>
      <w:r w:rsidRPr="004C17F1">
        <w:t xml:space="preserve">Mr Don Ennis, Deputy to Mr Carpenter (Term: 1 August 2011 </w:t>
      </w:r>
      <w:r>
        <w:t>to</w:t>
      </w:r>
      <w:r w:rsidRPr="004C17F1">
        <w:t xml:space="preserve"> 31 July 2016)</w:t>
      </w:r>
    </w:p>
    <w:p w:rsidR="009C0FF5" w:rsidRPr="004C17F1" w:rsidRDefault="009C0FF5" w:rsidP="009C0FF5">
      <w:pPr>
        <w:pStyle w:val="BodyText"/>
      </w:pPr>
      <w:r w:rsidRPr="004C17F1">
        <w:t xml:space="preserve">Cr Stephen Fox, Deputy to Ms Adams (Term: 1 August 2014 </w:t>
      </w:r>
      <w:r>
        <w:t>to</w:t>
      </w:r>
      <w:r w:rsidRPr="004C17F1">
        <w:t xml:space="preserve"> 31 July 2017)</w:t>
      </w:r>
    </w:p>
    <w:p w:rsidR="009C0FF5" w:rsidRPr="004E5F5C" w:rsidRDefault="009C0FF5" w:rsidP="009C0FF5">
      <w:pPr>
        <w:pStyle w:val="BodyText-nospacebelow"/>
        <w:rPr>
          <w:b/>
        </w:rPr>
      </w:pPr>
      <w:bookmarkStart w:id="23" w:name="_Toc371423474"/>
      <w:bookmarkStart w:id="24" w:name="_Toc371434425"/>
      <w:r w:rsidRPr="004E5F5C">
        <w:rPr>
          <w:b/>
        </w:rPr>
        <w:t>Commission Officers</w:t>
      </w:r>
      <w:bookmarkEnd w:id="23"/>
      <w:bookmarkEnd w:id="24"/>
    </w:p>
    <w:p w:rsidR="009C0FF5" w:rsidRDefault="009C0FF5" w:rsidP="009C0FF5">
      <w:pPr>
        <w:pStyle w:val="BodyText"/>
      </w:pPr>
      <w:r>
        <w:t>Officers of the Department of Local Government and Communities provide administrative, secretarial and research support to th</w:t>
      </w:r>
      <w:r w:rsidR="00BC6F9D">
        <w:t>e Grants Commission. During 2014</w:t>
      </w:r>
      <w:r>
        <w:t>-1</w:t>
      </w:r>
      <w:r w:rsidR="00BC6F9D">
        <w:t>5</w:t>
      </w:r>
      <w:r>
        <w:t>, officers assisting the Commission were:</w:t>
      </w:r>
    </w:p>
    <w:p w:rsidR="009C0FF5" w:rsidRDefault="00D873AE" w:rsidP="009C0FF5">
      <w:pPr>
        <w:pStyle w:val="BodyTextFirstIndent"/>
        <w:spacing w:after="0"/>
        <w:ind w:firstLine="0"/>
      </w:pPr>
      <w:r>
        <w:t xml:space="preserve">Dr Christopher Berry </w:t>
      </w:r>
      <w:r w:rsidR="009C0FF5">
        <w:t xml:space="preserve">– </w:t>
      </w:r>
      <w:r>
        <w:t>A/</w:t>
      </w:r>
      <w:r w:rsidR="009C0FF5">
        <w:t>Manager (Executive Support Branch)</w:t>
      </w:r>
    </w:p>
    <w:p w:rsidR="009C0FF5" w:rsidRDefault="009C0FF5" w:rsidP="009C0FF5">
      <w:pPr>
        <w:pStyle w:val="BodyTextFirstIndent"/>
        <w:spacing w:after="0"/>
        <w:ind w:firstLine="0"/>
      </w:pPr>
      <w:r>
        <w:t>Mr James Harmer – Senior Strategy and Research Officer (Executive Support Branch)</w:t>
      </w:r>
    </w:p>
    <w:p w:rsidR="009C0FF5" w:rsidRDefault="009C0FF5" w:rsidP="009C0FF5">
      <w:pPr>
        <w:pStyle w:val="BodyTextFirstIndent"/>
        <w:spacing w:after="0"/>
        <w:ind w:firstLine="0"/>
      </w:pPr>
      <w:r>
        <w:t>Mr Shannon Wood –</w:t>
      </w:r>
      <w:r w:rsidRPr="008B6401">
        <w:t xml:space="preserve"> </w:t>
      </w:r>
      <w:r>
        <w:t>Strategy and Research Officer (Executive Support Branch)</w:t>
      </w:r>
    </w:p>
    <w:p w:rsidR="009C0FF5" w:rsidRDefault="009C0FF5" w:rsidP="009C0FF5">
      <w:pPr>
        <w:pStyle w:val="BodyTextFirstIndent"/>
        <w:ind w:firstLine="0"/>
      </w:pPr>
      <w:r>
        <w:t xml:space="preserve">Mr Clive Shepherd – Consultant Engineer </w:t>
      </w:r>
      <w:r w:rsidRPr="005468BC">
        <w:t>(Executive Support Branch)</w:t>
      </w:r>
    </w:p>
    <w:p w:rsidR="009C0FF5" w:rsidRPr="00B87D4A" w:rsidRDefault="009C0FF5" w:rsidP="00672D56">
      <w:pPr>
        <w:pStyle w:val="Heading2"/>
        <w:spacing w:before="0"/>
      </w:pPr>
      <w:r w:rsidRPr="00B87D4A">
        <w:br w:type="page"/>
      </w:r>
      <w:bookmarkStart w:id="25" w:name="_Toc371434426"/>
      <w:bookmarkStart w:id="26" w:name="_Toc410647355"/>
      <w:bookmarkStart w:id="27" w:name="_Toc412713560"/>
      <w:bookmarkStart w:id="28" w:name="_Toc434918428"/>
      <w:r w:rsidRPr="00B87D4A">
        <w:lastRenderedPageBreak/>
        <w:t>Membe</w:t>
      </w:r>
      <w:r w:rsidR="00BC6F9D">
        <w:t>r Profiles (as at 31 August 2015</w:t>
      </w:r>
      <w:r w:rsidRPr="00B87D4A">
        <w:t>)</w:t>
      </w:r>
      <w:bookmarkEnd w:id="25"/>
      <w:bookmarkEnd w:id="26"/>
      <w:bookmarkEnd w:id="27"/>
      <w:bookmarkEnd w:id="28"/>
    </w:p>
    <w:p w:rsidR="009C0FF5" w:rsidRPr="00A43326" w:rsidRDefault="009C0FF5" w:rsidP="009C0FF5">
      <w:pPr>
        <w:pStyle w:val="BodyText-nospacebelow"/>
        <w:rPr>
          <w:b/>
        </w:rPr>
      </w:pPr>
      <w:bookmarkStart w:id="29" w:name="_Toc371423477"/>
      <w:bookmarkStart w:id="30" w:name="_Toc371434427"/>
      <w:r w:rsidRPr="00A43326">
        <w:rPr>
          <w:b/>
        </w:rPr>
        <w:t>Linton Reynolds AM JP</w:t>
      </w:r>
      <w:bookmarkEnd w:id="29"/>
      <w:bookmarkEnd w:id="30"/>
    </w:p>
    <w:p w:rsidR="009C0FF5" w:rsidRDefault="009C0FF5" w:rsidP="009C0FF5">
      <w:pPr>
        <w:pStyle w:val="BodyText"/>
      </w:pPr>
      <w:r>
        <w:t xml:space="preserve">Linton was first appointed to the WA Local Government Grants Commission in </w:t>
      </w:r>
      <w:r>
        <w:br w:type="textWrapping" w:clear="all"/>
        <w:t xml:space="preserve">1995. He was appointed as Chairman in December 2008 for a term expiring on </w:t>
      </w:r>
      <w:r>
        <w:br w:type="textWrapping" w:clear="all"/>
        <w:t xml:space="preserve">31 July 2011 and was reappointed for a further term expiring on 31 July 2016. </w:t>
      </w:r>
      <w:r>
        <w:br w:type="textWrapping" w:clear="all"/>
        <w:t>Linton was elected to the Armadale City Council in 1989 and was first elected to the position of Mayor of the City of Armadale in May 2001. He retired as Mayor in October 2011. Linton was appointed as Commissioner of the City of Canning in November 2012 by the Minister for Local Government when the council was suspended, with the term ending in September 2014.</w:t>
      </w:r>
    </w:p>
    <w:p w:rsidR="009C0FF5" w:rsidRPr="00A43326" w:rsidRDefault="009C0FF5" w:rsidP="009C0FF5">
      <w:pPr>
        <w:pStyle w:val="BodyText-nospacebelow"/>
        <w:rPr>
          <w:b/>
        </w:rPr>
      </w:pPr>
      <w:bookmarkStart w:id="31" w:name="_Toc371423478"/>
      <w:bookmarkStart w:id="32" w:name="_Toc371434428"/>
      <w:r w:rsidRPr="00A43326">
        <w:rPr>
          <w:b/>
        </w:rPr>
        <w:t>Brad Jolly</w:t>
      </w:r>
      <w:bookmarkEnd w:id="31"/>
      <w:bookmarkEnd w:id="32"/>
    </w:p>
    <w:p w:rsidR="009C0FF5" w:rsidRDefault="009C0FF5" w:rsidP="009C0FF5">
      <w:pPr>
        <w:pStyle w:val="BodyText"/>
      </w:pPr>
      <w:r>
        <w:t>Brad is the Executive Director of Sector Regulation and Support at the Department of Local Government and Communities.</w:t>
      </w:r>
    </w:p>
    <w:p w:rsidR="009C0FF5" w:rsidRDefault="009C0FF5" w:rsidP="009C0FF5">
      <w:pPr>
        <w:pStyle w:val="BodyText"/>
      </w:pPr>
      <w:r>
        <w:t>His current term of appointment as Deputy Chair expires on 31 July 2017.</w:t>
      </w:r>
    </w:p>
    <w:p w:rsidR="009C0FF5" w:rsidRPr="00A43326" w:rsidRDefault="009C0FF5" w:rsidP="009C0FF5">
      <w:pPr>
        <w:pStyle w:val="BodyText-nospacebelow"/>
        <w:rPr>
          <w:b/>
        </w:rPr>
      </w:pPr>
      <w:bookmarkStart w:id="33" w:name="_Toc371423479"/>
      <w:bookmarkStart w:id="34" w:name="_Toc371434429"/>
      <w:r w:rsidRPr="00A43326">
        <w:rPr>
          <w:b/>
        </w:rPr>
        <w:t>Ian Carpenter</w:t>
      </w:r>
      <w:bookmarkEnd w:id="33"/>
      <w:bookmarkEnd w:id="34"/>
    </w:p>
    <w:p w:rsidR="009C0FF5" w:rsidRDefault="009C0FF5" w:rsidP="009C0FF5">
      <w:pPr>
        <w:pStyle w:val="BodyText"/>
      </w:pPr>
      <w:r>
        <w:t>Ian was first elected as a councillor for the City of Geraldton in 2003, elected Deputy Mayor in 2005 and elected as Acting Mayor in 2006. In 2007, Ian was elected as Mayor of the amalgamated City of Geraldton-Greenough and was elected as the inaugural Mayor of the City of Greater Geraldton in October 2011.</w:t>
      </w:r>
    </w:p>
    <w:p w:rsidR="009C0FF5" w:rsidRDefault="009C0FF5" w:rsidP="009C0FF5">
      <w:pPr>
        <w:pStyle w:val="BodyText"/>
      </w:pPr>
      <w:r>
        <w:t>His current term of appointment as Commissioner expires on 31 July 2016.</w:t>
      </w:r>
    </w:p>
    <w:p w:rsidR="009C0FF5" w:rsidRPr="00A43326" w:rsidRDefault="009C0FF5" w:rsidP="009C0FF5">
      <w:pPr>
        <w:pStyle w:val="BodyText-nospacebelow"/>
        <w:rPr>
          <w:b/>
        </w:rPr>
      </w:pPr>
      <w:r w:rsidRPr="00A43326">
        <w:rPr>
          <w:b/>
        </w:rPr>
        <w:t>Carol Adams</w:t>
      </w:r>
    </w:p>
    <w:p w:rsidR="009C0FF5" w:rsidRPr="000B1235" w:rsidRDefault="009C0FF5" w:rsidP="009C0FF5">
      <w:pPr>
        <w:pStyle w:val="BodyText"/>
      </w:pPr>
      <w:r w:rsidRPr="000B1235">
        <w:t xml:space="preserve">Carol was first elected as a councillor for the City of Kwinana in 1997 and then elected as Deputy Mayor in 2005. In 2006, Carol was elected Mayor </w:t>
      </w:r>
      <w:r>
        <w:t>of</w:t>
      </w:r>
      <w:r w:rsidRPr="000B1235">
        <w:t xml:space="preserve"> the City of Kwinana with her </w:t>
      </w:r>
      <w:r>
        <w:t xml:space="preserve">current </w:t>
      </w:r>
      <w:r w:rsidRPr="000B1235">
        <w:t>term</w:t>
      </w:r>
      <w:r w:rsidR="005A1286">
        <w:t xml:space="preserve"> </w:t>
      </w:r>
      <w:r w:rsidR="00BC6F9D">
        <w:t>expiring</w:t>
      </w:r>
      <w:r w:rsidRPr="000B1235">
        <w:t xml:space="preserve"> in 2017. </w:t>
      </w:r>
    </w:p>
    <w:p w:rsidR="009C0FF5" w:rsidRDefault="009C0FF5" w:rsidP="009C0FF5">
      <w:pPr>
        <w:pStyle w:val="BodyText"/>
      </w:pPr>
      <w:r>
        <w:t>Her c</w:t>
      </w:r>
      <w:r w:rsidRPr="00A75F90">
        <w:t>urrent term of appointment as Commissioner expires on 31 July 2017.</w:t>
      </w:r>
    </w:p>
    <w:p w:rsidR="009C0FF5" w:rsidRPr="00A43326" w:rsidRDefault="009C0FF5" w:rsidP="009C0FF5">
      <w:pPr>
        <w:pStyle w:val="BodyText-nospacebelow"/>
        <w:rPr>
          <w:b/>
        </w:rPr>
      </w:pPr>
      <w:r w:rsidRPr="00A43326">
        <w:rPr>
          <w:b/>
        </w:rPr>
        <w:t>Paul Omodei</w:t>
      </w:r>
    </w:p>
    <w:p w:rsidR="009C0FF5" w:rsidRPr="000B1235" w:rsidRDefault="009C0FF5" w:rsidP="009C0FF5">
      <w:pPr>
        <w:pStyle w:val="BodyText"/>
      </w:pPr>
      <w:r w:rsidRPr="000B1235">
        <w:t xml:space="preserve">Paul has over 25 years’ experience in local government including </w:t>
      </w:r>
      <w:r>
        <w:t>eight</w:t>
      </w:r>
      <w:r w:rsidRPr="000B1235">
        <w:t xml:space="preserve"> years as Minister for Local Government. Having originally been a councillor, Deputy President and President </w:t>
      </w:r>
      <w:r>
        <w:t xml:space="preserve">of </w:t>
      </w:r>
      <w:r w:rsidRPr="000B1235">
        <w:t>the Shire of Manjimup between 1976 and 1988</w:t>
      </w:r>
      <w:r>
        <w:t>,</w:t>
      </w:r>
      <w:r w:rsidRPr="000B1235">
        <w:t xml:space="preserve"> he has now returned to local government representing </w:t>
      </w:r>
      <w:r>
        <w:t xml:space="preserve">the shire </w:t>
      </w:r>
      <w:r w:rsidRPr="000B1235">
        <w:t xml:space="preserve">as a councillor. </w:t>
      </w:r>
    </w:p>
    <w:p w:rsidR="009C0FF5" w:rsidRDefault="009C0FF5" w:rsidP="009C0FF5">
      <w:pPr>
        <w:pStyle w:val="BodyText"/>
      </w:pPr>
      <w:r w:rsidRPr="00A75F90">
        <w:t>His current term of appointment as Commissioner expires on 31 July 2017.</w:t>
      </w:r>
      <w:r>
        <w:br w:type="page"/>
      </w:r>
    </w:p>
    <w:p w:rsidR="009C0FF5" w:rsidRDefault="009C0FF5" w:rsidP="003120D7">
      <w:pPr>
        <w:pStyle w:val="Heading1"/>
      </w:pPr>
      <w:bookmarkStart w:id="35" w:name="_Toc371434432"/>
      <w:bookmarkStart w:id="36" w:name="_Toc410647356"/>
      <w:bookmarkStart w:id="37" w:name="_Toc412713561"/>
      <w:bookmarkStart w:id="38" w:name="_Toc434918429"/>
      <w:r>
        <w:lastRenderedPageBreak/>
        <w:t>The Year in Review</w:t>
      </w:r>
      <w:bookmarkEnd w:id="35"/>
      <w:bookmarkEnd w:id="36"/>
      <w:bookmarkEnd w:id="37"/>
      <w:bookmarkEnd w:id="38"/>
    </w:p>
    <w:p w:rsidR="009C0FF5" w:rsidRDefault="0064441A" w:rsidP="009C0FF5">
      <w:pPr>
        <w:pStyle w:val="Heading2"/>
      </w:pPr>
      <w:bookmarkStart w:id="39" w:name="_Toc371434433"/>
      <w:bookmarkStart w:id="40" w:name="_Toc410647357"/>
      <w:bookmarkStart w:id="41" w:name="_Toc412713562"/>
      <w:bookmarkStart w:id="42" w:name="_Toc434918430"/>
      <w:r>
        <w:t>Financial A</w:t>
      </w:r>
      <w:r w:rsidR="009C0FF5">
        <w:t>ssistance Grants: 201</w:t>
      </w:r>
      <w:r w:rsidR="00D553F9">
        <w:t>5</w:t>
      </w:r>
      <w:r w:rsidR="009C0FF5">
        <w:t>-1</w:t>
      </w:r>
      <w:r w:rsidR="00D553F9">
        <w:t>6</w:t>
      </w:r>
      <w:r w:rsidR="009C0FF5">
        <w:t xml:space="preserve"> Grant Allocations</w:t>
      </w:r>
      <w:bookmarkEnd w:id="39"/>
      <w:bookmarkEnd w:id="40"/>
      <w:bookmarkEnd w:id="41"/>
      <w:bookmarkEnd w:id="42"/>
    </w:p>
    <w:p w:rsidR="009C0FF5" w:rsidRDefault="009C0FF5" w:rsidP="009C0FF5">
      <w:pPr>
        <w:pStyle w:val="BodyText"/>
      </w:pPr>
      <w:r>
        <w:t>The Western Australian share of Commonwealth funding for 201</w:t>
      </w:r>
      <w:r w:rsidR="00D553F9">
        <w:t>5</w:t>
      </w:r>
      <w:r>
        <w:t>-1</w:t>
      </w:r>
      <w:r w:rsidR="00D553F9">
        <w:t>6</w:t>
      </w:r>
      <w:r>
        <w:t xml:space="preserve"> was </w:t>
      </w:r>
      <w:r w:rsidRPr="00AA6710">
        <w:t>$</w:t>
      </w:r>
      <w:r w:rsidRPr="00C4398E">
        <w:t>28</w:t>
      </w:r>
      <w:r w:rsidR="00D873AE">
        <w:t>1</w:t>
      </w:r>
      <w:r w:rsidRPr="00C4398E">
        <w:t>,</w:t>
      </w:r>
      <w:r w:rsidR="00D873AE">
        <w:t>380,382</w:t>
      </w:r>
      <w:r w:rsidRPr="005C455F">
        <w:t xml:space="preserve"> being 12.</w:t>
      </w:r>
      <w:r w:rsidR="00D873AE">
        <w:t>30</w:t>
      </w:r>
      <w:r w:rsidRPr="005C455F">
        <w:t>% of the national allocation of $2.</w:t>
      </w:r>
      <w:r w:rsidR="00D873AE">
        <w:t>288</w:t>
      </w:r>
      <w:r w:rsidRPr="005C455F">
        <w:t xml:space="preserve"> billion (after</w:t>
      </w:r>
      <w:r>
        <w:t xml:space="preserve"> adjustments). WA’s share consisted of $17</w:t>
      </w:r>
      <w:r w:rsidR="00D873AE">
        <w:t>3</w:t>
      </w:r>
      <w:r>
        <w:t>,</w:t>
      </w:r>
      <w:r w:rsidR="00D873AE">
        <w:t>830,734</w:t>
      </w:r>
      <w:r w:rsidR="00CA61FE">
        <w:t xml:space="preserve"> for the general p</w:t>
      </w:r>
      <w:r>
        <w:t xml:space="preserve">urpose component and </w:t>
      </w:r>
      <w:r w:rsidRPr="00D671A7">
        <w:t>$10</w:t>
      </w:r>
      <w:r w:rsidR="00D873AE">
        <w:t>7,549,648</w:t>
      </w:r>
      <w:r w:rsidR="00CA61FE">
        <w:t xml:space="preserve"> for the r</w:t>
      </w:r>
      <w:r>
        <w:t>oads component.</w:t>
      </w:r>
    </w:p>
    <w:p w:rsidR="009C0FF5" w:rsidRDefault="00D553F9" w:rsidP="009C0FF5">
      <w:pPr>
        <w:pStyle w:val="BodyText"/>
      </w:pPr>
      <w:r>
        <w:t>The</w:t>
      </w:r>
      <w:r w:rsidR="009C0FF5">
        <w:t xml:space="preserve"> Commission has continued to phase-in</w:t>
      </w:r>
      <w:r>
        <w:t xml:space="preserve"> general purpose</w:t>
      </w:r>
      <w:r w:rsidR="009C0FF5">
        <w:t xml:space="preserve"> </w:t>
      </w:r>
      <w:r>
        <w:t xml:space="preserve">grant </w:t>
      </w:r>
      <w:r w:rsidR="009C0FF5">
        <w:t xml:space="preserve">increases and </w:t>
      </w:r>
      <w:r>
        <w:t>apply a maximum drop</w:t>
      </w:r>
      <w:r w:rsidR="009C0FF5">
        <w:t xml:space="preserve"> to lessen the impact on local governments</w:t>
      </w:r>
      <w:r>
        <w:t xml:space="preserve"> whose grants are declining</w:t>
      </w:r>
      <w:r w:rsidR="009C0FF5">
        <w:t>.</w:t>
      </w:r>
      <w:r w:rsidR="009C0FF5" w:rsidRPr="00215B2B">
        <w:t xml:space="preserve"> </w:t>
      </w:r>
      <w:r w:rsidR="009C0FF5" w:rsidRPr="00D70759">
        <w:t xml:space="preserve">This resulted in a maximum decrease of </w:t>
      </w:r>
      <w:r>
        <w:t>15%</w:t>
      </w:r>
      <w:r w:rsidR="00E556B3">
        <w:t>.</w:t>
      </w:r>
      <w:r w:rsidR="009C0FF5" w:rsidRPr="00D70759">
        <w:t xml:space="preserve"> </w:t>
      </w:r>
      <w:r w:rsidR="00E556B3">
        <w:t>F</w:t>
      </w:r>
      <w:r w:rsidR="009C0FF5" w:rsidRPr="00D70759">
        <w:t>or local governments that received an increase in 201</w:t>
      </w:r>
      <w:r>
        <w:t>5</w:t>
      </w:r>
      <w:r w:rsidR="009C0FF5">
        <w:t>-</w:t>
      </w:r>
      <w:r w:rsidR="009C0FF5" w:rsidRPr="00D70759">
        <w:t>1</w:t>
      </w:r>
      <w:r>
        <w:t>6</w:t>
      </w:r>
      <w:r w:rsidR="00E556B3">
        <w:t>,</w:t>
      </w:r>
      <w:r w:rsidR="009C0FF5" w:rsidRPr="00D70759">
        <w:t xml:space="preserve"> the Commission </w:t>
      </w:r>
      <w:r w:rsidR="00913829">
        <w:t xml:space="preserve">funded </w:t>
      </w:r>
      <w:r>
        <w:t>6.02</w:t>
      </w:r>
      <w:r w:rsidR="009C0FF5" w:rsidRPr="00D70759">
        <w:t>% of the gap between the 201</w:t>
      </w:r>
      <w:r>
        <w:t>4</w:t>
      </w:r>
      <w:r w:rsidR="009C0FF5">
        <w:t>-</w:t>
      </w:r>
      <w:r w:rsidR="009C0FF5" w:rsidRPr="00D70759">
        <w:t>1</w:t>
      </w:r>
      <w:r>
        <w:t>5</w:t>
      </w:r>
      <w:r w:rsidR="007F37A3">
        <w:t xml:space="preserve"> g</w:t>
      </w:r>
      <w:r w:rsidR="009C0FF5" w:rsidRPr="00D70759">
        <w:t xml:space="preserve">eneral </w:t>
      </w:r>
      <w:r w:rsidR="007F37A3">
        <w:t>p</w:t>
      </w:r>
      <w:r w:rsidR="009C0FF5" w:rsidRPr="00D70759">
        <w:t xml:space="preserve">urpose </w:t>
      </w:r>
      <w:r w:rsidR="007F37A3">
        <w:t>g</w:t>
      </w:r>
      <w:r w:rsidR="009C0FF5" w:rsidRPr="00D70759">
        <w:t>rant and the 201</w:t>
      </w:r>
      <w:r>
        <w:t>5</w:t>
      </w:r>
      <w:r w:rsidR="009C0FF5">
        <w:t>-</w:t>
      </w:r>
      <w:r w:rsidR="009C0FF5" w:rsidRPr="00D70759">
        <w:t>1</w:t>
      </w:r>
      <w:r>
        <w:t>6</w:t>
      </w:r>
      <w:r w:rsidR="009C0FF5" w:rsidRPr="00D70759">
        <w:t xml:space="preserve"> average equalisation requirement.</w:t>
      </w:r>
      <w:r w:rsidR="009C0FF5">
        <w:t xml:space="preserve"> Using this method, increases were between 0% and </w:t>
      </w:r>
      <w:r w:rsidR="00366ABF">
        <w:t>7.6</w:t>
      </w:r>
      <w:r w:rsidR="00CA61FE">
        <w:t>%. Road g</w:t>
      </w:r>
      <w:r w:rsidR="009C0FF5">
        <w:t>rants were calculated in accordan</w:t>
      </w:r>
      <w:r w:rsidR="00CA61FE">
        <w:t>ce with the Asset Preservation M</w:t>
      </w:r>
      <w:r w:rsidR="009C0FF5">
        <w:t>odel as in previous years.</w:t>
      </w:r>
    </w:p>
    <w:p w:rsidR="009C0FF5" w:rsidRDefault="009C0FF5" w:rsidP="009C0FF5">
      <w:pPr>
        <w:pStyle w:val="BodyText"/>
      </w:pPr>
      <w:r>
        <w:t xml:space="preserve">Local governments that </w:t>
      </w:r>
      <w:r w:rsidR="00B461CA">
        <w:t>received a minimum grant in 2015-16</w:t>
      </w:r>
      <w:r>
        <w:t xml:space="preserve"> had their grant calculated on a per capita basis in accordance with the </w:t>
      </w:r>
      <w:r w:rsidR="00CA61FE">
        <w:t>m</w:t>
      </w:r>
      <w:r>
        <w:t xml:space="preserve">inimum </w:t>
      </w:r>
      <w:r w:rsidR="00CA61FE">
        <w:t>g</w:t>
      </w:r>
      <w:r>
        <w:t xml:space="preserve">rant </w:t>
      </w:r>
      <w:r w:rsidR="00CA61FE">
        <w:t>p</w:t>
      </w:r>
      <w:r>
        <w:t xml:space="preserve">rinciple established under the </w:t>
      </w:r>
      <w:r w:rsidRPr="00CA6B13">
        <w:rPr>
          <w:i/>
        </w:rPr>
        <w:t>Local Government (Financial Assistance) Act 1995</w:t>
      </w:r>
      <w:r>
        <w:t>.</w:t>
      </w:r>
    </w:p>
    <w:p w:rsidR="00672D56" w:rsidRPr="006A05EE" w:rsidRDefault="00672D56" w:rsidP="00672D56">
      <w:pPr>
        <w:pStyle w:val="Caption"/>
      </w:pPr>
      <w:r w:rsidRPr="006A05EE">
        <w:t xml:space="preserve">Figure </w:t>
      </w:r>
      <w:r w:rsidR="00FF2AF3">
        <w:fldChar w:fldCharType="begin"/>
      </w:r>
      <w:r w:rsidR="00FF2AF3">
        <w:instrText xml:space="preserve"> SEQ Figure \* ARABIC </w:instrText>
      </w:r>
      <w:r w:rsidR="00FF2AF3">
        <w:fldChar w:fldCharType="separate"/>
      </w:r>
      <w:r w:rsidR="0073161D">
        <w:rPr>
          <w:noProof/>
        </w:rPr>
        <w:t>1</w:t>
      </w:r>
      <w:r w:rsidR="00FF2AF3">
        <w:rPr>
          <w:noProof/>
        </w:rPr>
        <w:fldChar w:fldCharType="end"/>
      </w:r>
      <w:r w:rsidRPr="006A05EE">
        <w:t xml:space="preserve">. National Distribution of </w:t>
      </w:r>
      <w:r w:rsidR="00ED6B4D">
        <w:t>Financial Assistance Grants 2015</w:t>
      </w:r>
      <w:r w:rsidRPr="006A05EE">
        <w:t>-1</w:t>
      </w:r>
      <w:r w:rsidR="00ED6B4D">
        <w:t>6</w:t>
      </w:r>
    </w:p>
    <w:p w:rsidR="00672D56" w:rsidRDefault="00636B05" w:rsidP="00672D56">
      <w:pPr>
        <w:rPr>
          <w:noProof/>
          <w:shd w:val="clear" w:color="auto" w:fill="FF0000"/>
        </w:rPr>
      </w:pPr>
      <w:r>
        <w:rPr>
          <w:noProof/>
        </w:rPr>
        <w:drawing>
          <wp:inline distT="0" distB="0" distL="0" distR="0" wp14:anchorId="0CAF09A8" wp14:editId="321234B8">
            <wp:extent cx="5759450" cy="3781425"/>
            <wp:effectExtent l="0" t="0" r="0" b="0"/>
            <wp:docPr id="1" name="Chart 1" descr="Figure 1. National Distribution of Financial Assistance Grants 2015-16" title="Figure 1. National Distribution of Financial Assistance Grants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2D56" w:rsidRDefault="00672D56" w:rsidP="00672D56">
      <w:pPr>
        <w:pStyle w:val="Heading2"/>
        <w:sectPr w:rsidR="00672D56" w:rsidSect="003120D7">
          <w:pgSz w:w="11906" w:h="16838"/>
          <w:pgMar w:top="1418" w:right="1418" w:bottom="1134" w:left="1418" w:header="708" w:footer="708" w:gutter="0"/>
          <w:cols w:space="708"/>
          <w:docGrid w:linePitch="360"/>
        </w:sectPr>
      </w:pPr>
    </w:p>
    <w:p w:rsidR="009C0FF5" w:rsidRDefault="009C0FF5" w:rsidP="00672D56">
      <w:pPr>
        <w:pStyle w:val="Heading2"/>
        <w:spacing w:before="240"/>
      </w:pPr>
      <w:bookmarkStart w:id="43" w:name="_Toc371434434"/>
      <w:bookmarkStart w:id="44" w:name="_Toc410647358"/>
      <w:bookmarkStart w:id="45" w:name="_Toc412713563"/>
      <w:bookmarkStart w:id="46" w:name="_Toc434918431"/>
      <w:r>
        <w:lastRenderedPageBreak/>
        <w:t>Advance Payment of 201</w:t>
      </w:r>
      <w:r w:rsidR="00B461CA">
        <w:t>5</w:t>
      </w:r>
      <w:r>
        <w:t>-1</w:t>
      </w:r>
      <w:r w:rsidR="00B461CA">
        <w:t>6</w:t>
      </w:r>
      <w:r>
        <w:t xml:space="preserve"> Financial Assistance Grants</w:t>
      </w:r>
      <w:bookmarkEnd w:id="43"/>
      <w:bookmarkEnd w:id="44"/>
      <w:bookmarkEnd w:id="45"/>
      <w:bookmarkEnd w:id="46"/>
    </w:p>
    <w:p w:rsidR="009C0FF5" w:rsidRDefault="00B461CA" w:rsidP="009C0FF5">
      <w:pPr>
        <w:pStyle w:val="BodyText"/>
      </w:pPr>
      <w:r>
        <w:t>On 29 June 2015 the Commission was notified by the Commonwealth Government that an</w:t>
      </w:r>
      <w:r w:rsidR="009C0FF5">
        <w:t xml:space="preserve"> advance payment of the 201</w:t>
      </w:r>
      <w:r>
        <w:t>5</w:t>
      </w:r>
      <w:r w:rsidR="009C0FF5">
        <w:t>-1</w:t>
      </w:r>
      <w:r>
        <w:t>6</w:t>
      </w:r>
      <w:r w:rsidR="009C0FF5">
        <w:t xml:space="preserve"> Financial Assistance Grants</w:t>
      </w:r>
      <w:r w:rsidR="00CA61FE">
        <w:t xml:space="preserve"> (FAGs)</w:t>
      </w:r>
      <w:r>
        <w:t xml:space="preserve"> will be paid</w:t>
      </w:r>
      <w:r w:rsidR="009C0FF5">
        <w:t xml:space="preserve"> in the 201</w:t>
      </w:r>
      <w:r>
        <w:t>4</w:t>
      </w:r>
      <w:r w:rsidR="009C0FF5">
        <w:t>-1</w:t>
      </w:r>
      <w:r>
        <w:t>5</w:t>
      </w:r>
      <w:r w:rsidR="009C0FF5">
        <w:t xml:space="preserve"> financial year. </w:t>
      </w:r>
      <w:r>
        <w:t>Advance payments totalling $141,005,653, equivalent to half the total WA Financial As</w:t>
      </w:r>
      <w:r w:rsidR="009E13E3">
        <w:t>sistance Grant funding pool, were</w:t>
      </w:r>
      <w:r>
        <w:t xml:space="preserve"> made to local governments on </w:t>
      </w:r>
      <w:r w:rsidR="009E13E3">
        <w:t>30 June 2015.</w:t>
      </w:r>
    </w:p>
    <w:p w:rsidR="009C0FF5" w:rsidRDefault="009C0FF5" w:rsidP="009C0FF5">
      <w:pPr>
        <w:pStyle w:val="Heading2"/>
      </w:pPr>
      <w:bookmarkStart w:id="47" w:name="_Toc371434435"/>
      <w:bookmarkStart w:id="48" w:name="_Toc410647359"/>
      <w:bookmarkStart w:id="49" w:name="_Toc412713564"/>
      <w:bookmarkStart w:id="50" w:name="_Toc434918432"/>
      <w:r>
        <w:t>General Purpose Grants</w:t>
      </w:r>
      <w:bookmarkEnd w:id="47"/>
      <w:r>
        <w:t xml:space="preserve"> - Indexation Pause</w:t>
      </w:r>
      <w:bookmarkEnd w:id="48"/>
      <w:bookmarkEnd w:id="49"/>
      <w:bookmarkEnd w:id="50"/>
      <w:r>
        <w:t xml:space="preserve"> </w:t>
      </w:r>
    </w:p>
    <w:p w:rsidR="009C0FF5" w:rsidRDefault="009C0FF5" w:rsidP="009C0FF5">
      <w:pPr>
        <w:pStyle w:val="BodyText"/>
      </w:pPr>
      <w:r>
        <w:t xml:space="preserve">In the May 2014 Budget, the Commonwealth Government announced that the indexation of </w:t>
      </w:r>
      <w:r w:rsidR="00CA61FE">
        <w:t>FAGs</w:t>
      </w:r>
      <w:r>
        <w:t xml:space="preserve"> </w:t>
      </w:r>
      <w:r w:rsidR="00446B7F">
        <w:t>would</w:t>
      </w:r>
      <w:r>
        <w:t xml:space="preserve"> not be applied to the national FAGs pool for three financial years (2014-15, 2015-16 and 2016-17).</w:t>
      </w:r>
    </w:p>
    <w:p w:rsidR="009C0FF5" w:rsidRDefault="00913829" w:rsidP="009C0FF5">
      <w:pPr>
        <w:pStyle w:val="BodyText"/>
      </w:pPr>
      <w:r>
        <w:t xml:space="preserve">The Commonwealth legislation provides for an </w:t>
      </w:r>
      <w:r w:rsidR="009C0FF5">
        <w:t xml:space="preserve">annual </w:t>
      </w:r>
      <w:r>
        <w:t xml:space="preserve">adjustment </w:t>
      </w:r>
      <w:r w:rsidR="009C0FF5">
        <w:t>to</w:t>
      </w:r>
      <w:r w:rsidR="007F37A3">
        <w:t xml:space="preserve"> the national funding pool for g</w:t>
      </w:r>
      <w:r w:rsidR="009C0FF5">
        <w:t xml:space="preserve">eneral </w:t>
      </w:r>
      <w:r w:rsidR="007F37A3">
        <w:t>p</w:t>
      </w:r>
      <w:r w:rsidR="009C0FF5">
        <w:t xml:space="preserve">urpose </w:t>
      </w:r>
      <w:r w:rsidR="007F37A3">
        <w:t>g</w:t>
      </w:r>
      <w:r w:rsidR="009C0FF5">
        <w:t xml:space="preserve">rants </w:t>
      </w:r>
      <w:r>
        <w:t xml:space="preserve">and </w:t>
      </w:r>
      <w:r w:rsidR="009C0FF5">
        <w:t>is calculated by indexing the previous year’s funding pool by Consumer Price Index (CPI) and population growth. The annual increase to</w:t>
      </w:r>
      <w:r w:rsidR="00CA61FE">
        <w:t xml:space="preserve"> the national funding pool for l</w:t>
      </w:r>
      <w:r w:rsidR="009C0FF5">
        <w:t xml:space="preserve">ocal </w:t>
      </w:r>
      <w:r w:rsidR="00CA61FE">
        <w:t>road g</w:t>
      </w:r>
      <w:r w:rsidR="009C0FF5">
        <w:t>rants is calculated by indexing the previous year’s funding pool by CPI.</w:t>
      </w:r>
      <w:r>
        <w:t xml:space="preserve"> The legislation also provides for the Treasurer to vary this adjustment if there are considered to be special circumstances.</w:t>
      </w:r>
    </w:p>
    <w:p w:rsidR="009C0FF5" w:rsidRDefault="00272586" w:rsidP="009C0FF5">
      <w:pPr>
        <w:pStyle w:val="BodyText"/>
      </w:pPr>
      <w:r w:rsidRPr="00760443">
        <w:t>In 2015</w:t>
      </w:r>
      <w:r w:rsidR="00760443" w:rsidRPr="00760443">
        <w:t>-</w:t>
      </w:r>
      <w:r w:rsidRPr="00760443">
        <w:t xml:space="preserve">16 </w:t>
      </w:r>
      <w:r w:rsidRPr="00EE6717">
        <w:t xml:space="preserve">Western Australia received </w:t>
      </w:r>
      <w:r w:rsidR="00C650D6" w:rsidRPr="00EE6717">
        <w:t>a small increase</w:t>
      </w:r>
      <w:r w:rsidR="009C0FF5" w:rsidRPr="00EE6717">
        <w:t xml:space="preserve"> to </w:t>
      </w:r>
      <w:r w:rsidRPr="00EE6717">
        <w:t xml:space="preserve">its </w:t>
      </w:r>
      <w:r w:rsidR="007F37A3">
        <w:t>g</w:t>
      </w:r>
      <w:r w:rsidRPr="00EE6717">
        <w:t xml:space="preserve">eneral </w:t>
      </w:r>
      <w:r w:rsidR="007F37A3">
        <w:t>p</w:t>
      </w:r>
      <w:r w:rsidRPr="00EE6717">
        <w:t xml:space="preserve">urpose </w:t>
      </w:r>
      <w:r w:rsidR="007F37A3">
        <w:t>g</w:t>
      </w:r>
      <w:r w:rsidRPr="00EE6717">
        <w:t>rant pool due to population growth be</w:t>
      </w:r>
      <w:r w:rsidR="00760443" w:rsidRPr="00EE6717">
        <w:t xml:space="preserve">ing </w:t>
      </w:r>
      <w:r w:rsidR="00760443" w:rsidRPr="00760443">
        <w:t>greater</w:t>
      </w:r>
      <w:r w:rsidRPr="00760443">
        <w:t xml:space="preserve"> than in other states. </w:t>
      </w:r>
      <w:r w:rsidR="00CA61FE">
        <w:t>However the</w:t>
      </w:r>
      <w:r w:rsidRPr="00760443">
        <w:t xml:space="preserve"> road allocation however decreased marginally</w:t>
      </w:r>
      <w:r w:rsidR="004D4C07">
        <w:t xml:space="preserve"> as the total road funding pool across Australia had been overestimated</w:t>
      </w:r>
      <w:r w:rsidRPr="00760443">
        <w:t>.</w:t>
      </w:r>
      <w:r w:rsidR="004D4C07">
        <w:t xml:space="preserve"> </w:t>
      </w:r>
      <w:r>
        <w:t xml:space="preserve">The </w:t>
      </w:r>
      <w:r w:rsidR="00CA61FE">
        <w:t>l</w:t>
      </w:r>
      <w:r w:rsidR="009C0FF5">
        <w:t xml:space="preserve">ocal </w:t>
      </w:r>
      <w:r w:rsidR="00CA61FE">
        <w:t>road g</w:t>
      </w:r>
      <w:r w:rsidR="009C0FF5">
        <w:t xml:space="preserve">rant pool </w:t>
      </w:r>
      <w:r>
        <w:t xml:space="preserve">decreased proportionately across all </w:t>
      </w:r>
      <w:r w:rsidR="00CA61FE">
        <w:t>s</w:t>
      </w:r>
      <w:r w:rsidR="00C650D6">
        <w:t xml:space="preserve">tates as </w:t>
      </w:r>
      <w:r w:rsidR="009C0FF5">
        <w:t>i</w:t>
      </w:r>
      <w:r w:rsidR="00C650D6">
        <w:t>t is</w:t>
      </w:r>
      <w:r w:rsidR="009C0FF5">
        <w:t xml:space="preserve"> split on the basis of fixed historic shares, of</w:t>
      </w:r>
      <w:r w:rsidR="00CA61FE">
        <w:t xml:space="preserve"> which WA receives 15.29%. The g</w:t>
      </w:r>
      <w:r w:rsidR="009C0FF5">
        <w:t xml:space="preserve">eneral </w:t>
      </w:r>
      <w:r w:rsidR="00CA61FE">
        <w:t>p</w:t>
      </w:r>
      <w:r w:rsidR="009C0FF5">
        <w:t xml:space="preserve">urpose pool is split on a per capita basis, so the faster growing </w:t>
      </w:r>
      <w:r w:rsidR="00CA61FE">
        <w:t>s</w:t>
      </w:r>
      <w:r w:rsidR="009C0FF5">
        <w:t xml:space="preserve">tates such as WA will receive an increasing share of this pool for the </w:t>
      </w:r>
      <w:r w:rsidR="00446B7F">
        <w:t>three years of indexation pause.</w:t>
      </w:r>
    </w:p>
    <w:p w:rsidR="0064441A" w:rsidRDefault="0064441A" w:rsidP="009C0FF5">
      <w:pPr>
        <w:pStyle w:val="BodyText"/>
      </w:pPr>
      <w:r>
        <w:br w:type="page"/>
      </w:r>
    </w:p>
    <w:p w:rsidR="00F84564" w:rsidRDefault="00F84564" w:rsidP="00F84564">
      <w:pPr>
        <w:pStyle w:val="Caption"/>
      </w:pPr>
      <w:r>
        <w:lastRenderedPageBreak/>
        <w:t xml:space="preserve">Table </w:t>
      </w:r>
      <w:r w:rsidR="00FF2AF3">
        <w:fldChar w:fldCharType="begin"/>
      </w:r>
      <w:r w:rsidR="00FF2AF3">
        <w:instrText xml:space="preserve"> SEQ Table \* ARABIC </w:instrText>
      </w:r>
      <w:r w:rsidR="00FF2AF3">
        <w:fldChar w:fldCharType="separate"/>
      </w:r>
      <w:r w:rsidR="0073161D">
        <w:rPr>
          <w:noProof/>
        </w:rPr>
        <w:t>1</w:t>
      </w:r>
      <w:r w:rsidR="00FF2AF3">
        <w:rPr>
          <w:noProof/>
        </w:rPr>
        <w:fldChar w:fldCharType="end"/>
      </w:r>
      <w:r>
        <w:t xml:space="preserve">: </w:t>
      </w:r>
      <w:r w:rsidR="00913829">
        <w:t xml:space="preserve">2015-16 </w:t>
      </w:r>
      <w:r w:rsidRPr="001E2660">
        <w:t>General Purpose and Road Funding by State</w:t>
      </w:r>
    </w:p>
    <w:tbl>
      <w:tblPr>
        <w:tblW w:w="8850" w:type="dxa"/>
        <w:tblInd w:w="108" w:type="dxa"/>
        <w:tblBorders>
          <w:insideH w:val="single" w:sz="6" w:space="0" w:color="7F7F7F" w:themeColor="text1" w:themeTint="80"/>
        </w:tblBorders>
        <w:tblLook w:val="0000" w:firstRow="0" w:lastRow="0" w:firstColumn="0" w:lastColumn="0" w:noHBand="0" w:noVBand="0"/>
        <w:tblCaption w:val="Table 1: General Purpose and Road Funding by State"/>
        <w:tblDescription w:val="Table 1: General Purpose and Road Funding by State"/>
      </w:tblPr>
      <w:tblGrid>
        <w:gridCol w:w="3130"/>
        <w:gridCol w:w="3020"/>
        <w:gridCol w:w="2700"/>
      </w:tblGrid>
      <w:tr w:rsidR="009C0FF5" w:rsidRPr="00F84564" w:rsidTr="00A2779B">
        <w:trPr>
          <w:trHeight w:val="330"/>
        </w:trPr>
        <w:tc>
          <w:tcPr>
            <w:tcW w:w="3130" w:type="dxa"/>
            <w:shd w:val="clear" w:color="auto" w:fill="E1F4FD"/>
            <w:noWrap/>
            <w:vAlign w:val="bottom"/>
          </w:tcPr>
          <w:p w:rsidR="009C0FF5" w:rsidRPr="00F84564" w:rsidRDefault="009C0FF5" w:rsidP="004508B8">
            <w:pPr>
              <w:spacing w:before="60" w:after="0"/>
              <w:rPr>
                <w:b/>
                <w:bCs/>
                <w:color w:val="3C3C3C"/>
              </w:rPr>
            </w:pPr>
            <w:r w:rsidRPr="00F84564">
              <w:rPr>
                <w:b/>
                <w:bCs/>
                <w:color w:val="3C3C3C"/>
              </w:rPr>
              <w:t>State</w:t>
            </w:r>
          </w:p>
        </w:tc>
        <w:tc>
          <w:tcPr>
            <w:tcW w:w="3020" w:type="dxa"/>
            <w:shd w:val="clear" w:color="auto" w:fill="E1F4FD"/>
            <w:vAlign w:val="center"/>
          </w:tcPr>
          <w:p w:rsidR="009C0FF5" w:rsidRPr="00F84564" w:rsidRDefault="009C0FF5" w:rsidP="004508B8">
            <w:pPr>
              <w:spacing w:before="60" w:after="0"/>
              <w:jc w:val="center"/>
              <w:rPr>
                <w:b/>
                <w:bCs/>
                <w:color w:val="3C3C3C"/>
              </w:rPr>
            </w:pPr>
            <w:r w:rsidRPr="00F84564">
              <w:rPr>
                <w:b/>
                <w:bCs/>
                <w:color w:val="3C3C3C"/>
              </w:rPr>
              <w:t>General Purpose %</w:t>
            </w:r>
          </w:p>
        </w:tc>
        <w:tc>
          <w:tcPr>
            <w:tcW w:w="2700" w:type="dxa"/>
            <w:shd w:val="clear" w:color="auto" w:fill="E1F4FD"/>
            <w:vAlign w:val="center"/>
          </w:tcPr>
          <w:p w:rsidR="009C0FF5" w:rsidRPr="00F84564" w:rsidRDefault="009C0FF5" w:rsidP="004508B8">
            <w:pPr>
              <w:spacing w:before="60" w:after="0"/>
              <w:jc w:val="center"/>
              <w:rPr>
                <w:b/>
                <w:bCs/>
                <w:color w:val="3C3C3C"/>
              </w:rPr>
            </w:pPr>
            <w:r w:rsidRPr="00F84564">
              <w:rPr>
                <w:b/>
                <w:bCs/>
                <w:color w:val="3C3C3C"/>
              </w:rPr>
              <w:t>Roads %</w:t>
            </w:r>
          </w:p>
        </w:tc>
      </w:tr>
      <w:tr w:rsidR="009C0FF5" w:rsidRPr="00046589" w:rsidTr="00A2779B">
        <w:trPr>
          <w:trHeight w:val="315"/>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New South Wales</w:t>
            </w:r>
          </w:p>
        </w:tc>
        <w:tc>
          <w:tcPr>
            <w:tcW w:w="3020" w:type="dxa"/>
            <w:shd w:val="clear" w:color="auto" w:fill="auto"/>
            <w:noWrap/>
            <w:vAlign w:val="bottom"/>
          </w:tcPr>
          <w:p w:rsidR="009C0FF5" w:rsidRPr="00046589" w:rsidRDefault="009C0FF5" w:rsidP="00896BF5">
            <w:pPr>
              <w:spacing w:before="60" w:after="0"/>
              <w:jc w:val="center"/>
              <w:rPr>
                <w:color w:val="3C3C3C"/>
              </w:rPr>
            </w:pPr>
            <w:r w:rsidRPr="00046589">
              <w:rPr>
                <w:color w:val="3C3C3C"/>
              </w:rPr>
              <w:t>32.0</w:t>
            </w:r>
            <w:r w:rsidR="00896BF5">
              <w:rPr>
                <w:color w:val="3C3C3C"/>
              </w:rPr>
              <w:t>1</w:t>
            </w:r>
            <w:r w:rsidRPr="00046589">
              <w:rPr>
                <w:color w:val="3C3C3C"/>
              </w:rPr>
              <w:t>%</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29.01%</w:t>
            </w:r>
          </w:p>
        </w:tc>
      </w:tr>
      <w:tr w:rsidR="009C0FF5" w:rsidRPr="00046589" w:rsidTr="00A2779B">
        <w:trPr>
          <w:trHeight w:val="315"/>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Victoria</w:t>
            </w:r>
          </w:p>
        </w:tc>
        <w:tc>
          <w:tcPr>
            <w:tcW w:w="3020" w:type="dxa"/>
            <w:shd w:val="clear" w:color="auto" w:fill="auto"/>
            <w:noWrap/>
            <w:vAlign w:val="bottom"/>
          </w:tcPr>
          <w:p w:rsidR="009C0FF5" w:rsidRPr="00046589" w:rsidRDefault="00896BF5" w:rsidP="004508B8">
            <w:pPr>
              <w:spacing w:before="60" w:after="0"/>
              <w:jc w:val="center"/>
              <w:rPr>
                <w:color w:val="3C3C3C"/>
              </w:rPr>
            </w:pPr>
            <w:r>
              <w:rPr>
                <w:color w:val="3C3C3C"/>
              </w:rPr>
              <w:t>24.90</w:t>
            </w:r>
            <w:r w:rsidR="009C0FF5" w:rsidRPr="00046589">
              <w:rPr>
                <w:color w:val="3C3C3C"/>
              </w:rPr>
              <w:t>%</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20.62%</w:t>
            </w:r>
          </w:p>
        </w:tc>
      </w:tr>
      <w:tr w:rsidR="009C0FF5" w:rsidRPr="00046589" w:rsidTr="00A2779B">
        <w:trPr>
          <w:trHeight w:val="315"/>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Queensland</w:t>
            </w:r>
          </w:p>
        </w:tc>
        <w:tc>
          <w:tcPr>
            <w:tcW w:w="3020" w:type="dxa"/>
            <w:shd w:val="clear" w:color="auto" w:fill="auto"/>
            <w:noWrap/>
            <w:vAlign w:val="bottom"/>
          </w:tcPr>
          <w:p w:rsidR="009C0FF5" w:rsidRPr="00046589" w:rsidRDefault="00896BF5" w:rsidP="004508B8">
            <w:pPr>
              <w:spacing w:before="60" w:after="0"/>
              <w:jc w:val="center"/>
              <w:rPr>
                <w:color w:val="3C3C3C"/>
              </w:rPr>
            </w:pPr>
            <w:r>
              <w:rPr>
                <w:color w:val="3C3C3C"/>
              </w:rPr>
              <w:t>20.11</w:t>
            </w:r>
            <w:r w:rsidR="009C0FF5" w:rsidRPr="00046589">
              <w:rPr>
                <w:color w:val="3C3C3C"/>
              </w:rPr>
              <w:t>%</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18.74%</w:t>
            </w:r>
          </w:p>
        </w:tc>
      </w:tr>
      <w:tr w:rsidR="009C0FF5" w:rsidRPr="00046589" w:rsidTr="00A2779B">
        <w:trPr>
          <w:trHeight w:val="315"/>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Western Australia</w:t>
            </w:r>
          </w:p>
        </w:tc>
        <w:tc>
          <w:tcPr>
            <w:tcW w:w="3020" w:type="dxa"/>
            <w:shd w:val="clear" w:color="auto" w:fill="auto"/>
            <w:noWrap/>
            <w:vAlign w:val="bottom"/>
          </w:tcPr>
          <w:p w:rsidR="009C0FF5" w:rsidRPr="00046589" w:rsidRDefault="00896BF5" w:rsidP="004508B8">
            <w:pPr>
              <w:spacing w:before="60" w:after="0"/>
              <w:jc w:val="center"/>
              <w:rPr>
                <w:color w:val="3C3C3C"/>
              </w:rPr>
            </w:pPr>
            <w:r>
              <w:rPr>
                <w:color w:val="3C3C3C"/>
              </w:rPr>
              <w:t>10.97</w:t>
            </w:r>
            <w:r w:rsidR="009C0FF5" w:rsidRPr="00046589">
              <w:rPr>
                <w:color w:val="3C3C3C"/>
              </w:rPr>
              <w:t>%</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15.29%</w:t>
            </w:r>
          </w:p>
        </w:tc>
      </w:tr>
      <w:tr w:rsidR="009C0FF5" w:rsidRPr="00046589" w:rsidTr="00A2779B">
        <w:trPr>
          <w:trHeight w:val="315"/>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South Australia</w:t>
            </w:r>
          </w:p>
        </w:tc>
        <w:tc>
          <w:tcPr>
            <w:tcW w:w="3020" w:type="dxa"/>
            <w:shd w:val="clear" w:color="auto" w:fill="auto"/>
            <w:noWrap/>
            <w:vAlign w:val="bottom"/>
          </w:tcPr>
          <w:p w:rsidR="009C0FF5" w:rsidRPr="00046589" w:rsidRDefault="00896BF5" w:rsidP="004508B8">
            <w:pPr>
              <w:spacing w:before="60" w:after="0"/>
              <w:jc w:val="center"/>
              <w:rPr>
                <w:color w:val="3C3C3C"/>
              </w:rPr>
            </w:pPr>
            <w:r>
              <w:rPr>
                <w:color w:val="3C3C3C"/>
              </w:rPr>
              <w:t>7.15</w:t>
            </w:r>
            <w:r w:rsidR="009C0FF5" w:rsidRPr="00046589">
              <w:rPr>
                <w:color w:val="3C3C3C"/>
              </w:rPr>
              <w:t>%</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5.50%</w:t>
            </w:r>
          </w:p>
        </w:tc>
      </w:tr>
      <w:tr w:rsidR="009C0FF5" w:rsidRPr="00046589" w:rsidTr="00A2779B">
        <w:trPr>
          <w:trHeight w:val="315"/>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Tasmania</w:t>
            </w:r>
          </w:p>
        </w:tc>
        <w:tc>
          <w:tcPr>
            <w:tcW w:w="3020" w:type="dxa"/>
            <w:shd w:val="clear" w:color="auto" w:fill="auto"/>
            <w:noWrap/>
            <w:vAlign w:val="bottom"/>
          </w:tcPr>
          <w:p w:rsidR="009C0FF5" w:rsidRPr="00046589" w:rsidRDefault="00896BF5" w:rsidP="004508B8">
            <w:pPr>
              <w:spacing w:before="60" w:after="0"/>
              <w:jc w:val="center"/>
              <w:rPr>
                <w:color w:val="3C3C3C"/>
              </w:rPr>
            </w:pPr>
            <w:r>
              <w:rPr>
                <w:color w:val="3C3C3C"/>
              </w:rPr>
              <w:t>2.18</w:t>
            </w:r>
            <w:r w:rsidR="009C0FF5" w:rsidRPr="00046589">
              <w:rPr>
                <w:color w:val="3C3C3C"/>
              </w:rPr>
              <w:t>%</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5.30%</w:t>
            </w:r>
          </w:p>
        </w:tc>
      </w:tr>
      <w:tr w:rsidR="009C0FF5" w:rsidRPr="00046589" w:rsidTr="00A2779B">
        <w:trPr>
          <w:trHeight w:val="315"/>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 xml:space="preserve">Northern Territory </w:t>
            </w:r>
          </w:p>
        </w:tc>
        <w:tc>
          <w:tcPr>
            <w:tcW w:w="302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1.04%</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2.34%</w:t>
            </w:r>
          </w:p>
        </w:tc>
      </w:tr>
      <w:tr w:rsidR="009C0FF5" w:rsidRPr="00046589" w:rsidTr="00A2779B">
        <w:trPr>
          <w:trHeight w:val="330"/>
        </w:trPr>
        <w:tc>
          <w:tcPr>
            <w:tcW w:w="3130" w:type="dxa"/>
            <w:shd w:val="clear" w:color="auto" w:fill="auto"/>
            <w:noWrap/>
            <w:vAlign w:val="bottom"/>
          </w:tcPr>
          <w:p w:rsidR="009C0FF5" w:rsidRPr="00046589" w:rsidRDefault="009C0FF5" w:rsidP="004508B8">
            <w:pPr>
              <w:spacing w:before="60" w:after="0"/>
              <w:rPr>
                <w:color w:val="3C3C3C"/>
              </w:rPr>
            </w:pPr>
            <w:r w:rsidRPr="00046589">
              <w:rPr>
                <w:color w:val="3C3C3C"/>
              </w:rPr>
              <w:t>Australian Capital Territory</w:t>
            </w:r>
          </w:p>
        </w:tc>
        <w:tc>
          <w:tcPr>
            <w:tcW w:w="302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1.64%</w:t>
            </w:r>
          </w:p>
        </w:tc>
        <w:tc>
          <w:tcPr>
            <w:tcW w:w="2700" w:type="dxa"/>
            <w:shd w:val="clear" w:color="auto" w:fill="auto"/>
            <w:noWrap/>
            <w:vAlign w:val="bottom"/>
          </w:tcPr>
          <w:p w:rsidR="009C0FF5" w:rsidRPr="00046589" w:rsidRDefault="009C0FF5" w:rsidP="004508B8">
            <w:pPr>
              <w:spacing w:before="60" w:after="0"/>
              <w:jc w:val="center"/>
              <w:rPr>
                <w:color w:val="3C3C3C"/>
              </w:rPr>
            </w:pPr>
            <w:r w:rsidRPr="00046589">
              <w:rPr>
                <w:color w:val="3C3C3C"/>
              </w:rPr>
              <w:t>3.21%</w:t>
            </w:r>
          </w:p>
        </w:tc>
      </w:tr>
      <w:tr w:rsidR="009C0FF5" w:rsidRPr="00F84564" w:rsidTr="00A2779B">
        <w:trPr>
          <w:trHeight w:val="330"/>
        </w:trPr>
        <w:tc>
          <w:tcPr>
            <w:tcW w:w="3130" w:type="dxa"/>
            <w:shd w:val="clear" w:color="auto" w:fill="auto"/>
            <w:noWrap/>
            <w:vAlign w:val="center"/>
          </w:tcPr>
          <w:p w:rsidR="009C0FF5" w:rsidRPr="00F84564" w:rsidRDefault="009C0FF5" w:rsidP="004508B8">
            <w:pPr>
              <w:spacing w:before="60" w:after="0"/>
              <w:rPr>
                <w:b/>
                <w:bCs/>
                <w:color w:val="3C3C3C"/>
              </w:rPr>
            </w:pPr>
            <w:r w:rsidRPr="00F84564">
              <w:rPr>
                <w:b/>
                <w:bCs/>
                <w:color w:val="3C3C3C"/>
              </w:rPr>
              <w:t>Total:</w:t>
            </w:r>
          </w:p>
        </w:tc>
        <w:tc>
          <w:tcPr>
            <w:tcW w:w="3020" w:type="dxa"/>
            <w:shd w:val="clear" w:color="auto" w:fill="auto"/>
            <w:noWrap/>
            <w:vAlign w:val="bottom"/>
          </w:tcPr>
          <w:p w:rsidR="009C0FF5" w:rsidRPr="00F84564" w:rsidRDefault="00C650D6" w:rsidP="004508B8">
            <w:pPr>
              <w:spacing w:before="60" w:after="0"/>
              <w:jc w:val="center"/>
              <w:rPr>
                <w:b/>
                <w:color w:val="3C3C3C"/>
              </w:rPr>
            </w:pPr>
            <w:r>
              <w:rPr>
                <w:b/>
                <w:color w:val="3C3C3C"/>
              </w:rPr>
              <w:t>100.00%</w:t>
            </w:r>
          </w:p>
        </w:tc>
        <w:tc>
          <w:tcPr>
            <w:tcW w:w="2700" w:type="dxa"/>
            <w:shd w:val="clear" w:color="auto" w:fill="auto"/>
            <w:noWrap/>
            <w:vAlign w:val="bottom"/>
          </w:tcPr>
          <w:p w:rsidR="009C0FF5" w:rsidRPr="00F84564" w:rsidRDefault="009C0FF5" w:rsidP="004508B8">
            <w:pPr>
              <w:spacing w:before="60" w:after="0"/>
              <w:jc w:val="center"/>
              <w:rPr>
                <w:b/>
                <w:color w:val="3C3C3C"/>
              </w:rPr>
            </w:pPr>
            <w:r w:rsidRPr="00F84564">
              <w:rPr>
                <w:b/>
                <w:color w:val="3C3C3C"/>
              </w:rPr>
              <w:t>100.00%*</w:t>
            </w:r>
          </w:p>
        </w:tc>
      </w:tr>
    </w:tbl>
    <w:p w:rsidR="009C0FF5" w:rsidRPr="00A43326" w:rsidRDefault="009C0FF5" w:rsidP="009C0FF5">
      <w:pPr>
        <w:pStyle w:val="BodyText"/>
        <w:spacing w:before="120"/>
        <w:sectPr w:rsidR="009C0FF5" w:rsidRPr="00A43326" w:rsidSect="003120D7">
          <w:footerReference w:type="default" r:id="rId20"/>
          <w:type w:val="continuous"/>
          <w:pgSz w:w="11906" w:h="16838"/>
          <w:pgMar w:top="1418" w:right="1418" w:bottom="1134" w:left="1418" w:header="709" w:footer="709" w:gutter="0"/>
          <w:cols w:space="708"/>
          <w:docGrid w:linePitch="360"/>
        </w:sectPr>
      </w:pPr>
      <w:r w:rsidRPr="00A43326">
        <w:t xml:space="preserve"> *Please note that due to rounding, </w:t>
      </w:r>
      <w:r w:rsidR="004D4C07">
        <w:t>figure</w:t>
      </w:r>
      <w:r w:rsidRPr="00A43326">
        <w:t xml:space="preserve"> do</w:t>
      </w:r>
      <w:r w:rsidR="004D4C07">
        <w:t>es</w:t>
      </w:r>
      <w:r w:rsidRPr="00A43326">
        <w:t xml:space="preserve"> not exactly equal 100%</w:t>
      </w:r>
    </w:p>
    <w:p w:rsidR="009C0FF5" w:rsidRPr="006A05EE" w:rsidRDefault="009C0FF5" w:rsidP="009C0FF5">
      <w:pPr>
        <w:pStyle w:val="Caption"/>
      </w:pPr>
      <w:r w:rsidRPr="006A05EE">
        <w:lastRenderedPageBreak/>
        <w:t xml:space="preserve">Figure </w:t>
      </w:r>
      <w:r w:rsidR="00FF2AF3">
        <w:fldChar w:fldCharType="begin"/>
      </w:r>
      <w:r w:rsidR="00FF2AF3">
        <w:instrText xml:space="preserve"> SEQ Figure \* ARABIC </w:instrText>
      </w:r>
      <w:r w:rsidR="00FF2AF3">
        <w:fldChar w:fldCharType="separate"/>
      </w:r>
      <w:r w:rsidR="0073161D">
        <w:rPr>
          <w:noProof/>
        </w:rPr>
        <w:t>2</w:t>
      </w:r>
      <w:r w:rsidR="00FF2AF3">
        <w:rPr>
          <w:noProof/>
        </w:rPr>
        <w:fldChar w:fldCharType="end"/>
      </w:r>
      <w:r w:rsidRPr="006A05EE">
        <w:t>. Commonwealth Funding Allocated to Western Australia 2000-01 to 201</w:t>
      </w:r>
      <w:r w:rsidR="004D4C07">
        <w:t>5</w:t>
      </w:r>
      <w:r w:rsidRPr="006A05EE">
        <w:t>-1</w:t>
      </w:r>
      <w:r w:rsidR="004D4C07">
        <w:t>6</w:t>
      </w:r>
    </w:p>
    <w:p w:rsidR="009C0FF5" w:rsidRPr="00444FEE" w:rsidRDefault="006E54F5" w:rsidP="006E54F5">
      <w:pPr>
        <w:ind w:left="-851"/>
        <w:jc w:val="both"/>
        <w:sectPr w:rsidR="009C0FF5" w:rsidRPr="00444FEE" w:rsidSect="004508B8">
          <w:pgSz w:w="16838" w:h="11906" w:orient="landscape"/>
          <w:pgMar w:top="1418" w:right="1134" w:bottom="1134" w:left="1134" w:header="709" w:footer="709" w:gutter="0"/>
          <w:cols w:space="708"/>
          <w:docGrid w:linePitch="360"/>
        </w:sectPr>
      </w:pPr>
      <w:r>
        <w:rPr>
          <w:noProof/>
        </w:rPr>
        <w:drawing>
          <wp:inline distT="0" distB="0" distL="0" distR="0" wp14:anchorId="4E7A866C" wp14:editId="4D83CB61">
            <wp:extent cx="10107930" cy="5085567"/>
            <wp:effectExtent l="0" t="0" r="7620" b="1270"/>
            <wp:docPr id="8" name="Chart 8" descr="Figure 2. Commonwealth Funding Allocated to Western Australia 2000-01 to 2015-16" title="Figure 2. Commonwealth Funding Allocated to Western Australia 2000-01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11C3" w:rsidRDefault="00FE11C3" w:rsidP="003120D7">
      <w:pPr>
        <w:pStyle w:val="Heading2"/>
        <w:spacing w:before="240"/>
      </w:pPr>
      <w:bookmarkStart w:id="51" w:name="_Toc434918433"/>
      <w:bookmarkStart w:id="52" w:name="_Toc371434437"/>
      <w:bookmarkStart w:id="53" w:name="_Toc410647360"/>
      <w:bookmarkStart w:id="54" w:name="_Toc412713565"/>
      <w:r>
        <w:lastRenderedPageBreak/>
        <w:t>Refinements to the Methodology for 2015</w:t>
      </w:r>
      <w:r w:rsidR="00CA61FE">
        <w:t>-</w:t>
      </w:r>
      <w:r>
        <w:t>16</w:t>
      </w:r>
      <w:bookmarkEnd w:id="51"/>
    </w:p>
    <w:p w:rsidR="00FE11C3" w:rsidRDefault="00913829" w:rsidP="0064441A">
      <w:pPr>
        <w:pStyle w:val="BodyText"/>
      </w:pPr>
      <w:r>
        <w:t xml:space="preserve">The Commission calculates the </w:t>
      </w:r>
      <w:r w:rsidR="000C4F9B">
        <w:t xml:space="preserve">allocation of the </w:t>
      </w:r>
      <w:r>
        <w:t>general purpose grants each year i</w:t>
      </w:r>
      <w:r w:rsidR="00FE11C3">
        <w:t xml:space="preserve">n </w:t>
      </w:r>
      <w:r w:rsidR="00E506FD">
        <w:t>accordance</w:t>
      </w:r>
      <w:r w:rsidR="00FE11C3">
        <w:t xml:space="preserve"> with the </w:t>
      </w:r>
      <w:r w:rsidR="00E506FD">
        <w:t>National</w:t>
      </w:r>
      <w:r w:rsidR="00FE11C3">
        <w:t xml:space="preserve"> </w:t>
      </w:r>
      <w:r w:rsidR="00E506FD">
        <w:t>Principles</w:t>
      </w:r>
      <w:r>
        <w:t xml:space="preserve">. </w:t>
      </w:r>
      <w:r w:rsidR="00EE6717">
        <w:t>A</w:t>
      </w:r>
      <w:r w:rsidR="0069508C">
        <w:t xml:space="preserve">t the conclusion of </w:t>
      </w:r>
      <w:r w:rsidR="00EE6717">
        <w:t>th</w:t>
      </w:r>
      <w:r w:rsidR="0069508C">
        <w:t>e</w:t>
      </w:r>
      <w:r w:rsidR="00EE6717">
        <w:t xml:space="preserve"> process it</w:t>
      </w:r>
      <w:r w:rsidR="00FE11C3">
        <w:t xml:space="preserve"> publishes an updated </w:t>
      </w:r>
      <w:r w:rsidR="00E506FD">
        <w:t>metho</w:t>
      </w:r>
      <w:r w:rsidR="00E9277E">
        <w:t>do</w:t>
      </w:r>
      <w:r w:rsidR="00E506FD">
        <w:t xml:space="preserve">logy guide. </w:t>
      </w:r>
      <w:r w:rsidR="00CA61FE">
        <w:t>For 2015-</w:t>
      </w:r>
      <w:r w:rsidR="00EE6717">
        <w:t xml:space="preserve">16, there were a number of </w:t>
      </w:r>
      <w:r w:rsidR="00E506FD">
        <w:t>refinements</w:t>
      </w:r>
      <w:r w:rsidR="00EE6717">
        <w:t>, including the following:</w:t>
      </w:r>
    </w:p>
    <w:p w:rsidR="00EE6717" w:rsidRPr="0064441A" w:rsidRDefault="00EE6717" w:rsidP="000C4373">
      <w:pPr>
        <w:pStyle w:val="Heading3"/>
      </w:pPr>
      <w:r w:rsidRPr="0064441A">
        <w:t>M</w:t>
      </w:r>
      <w:r w:rsidR="00CA61FE">
        <w:t>edical d</w:t>
      </w:r>
      <w:r w:rsidR="0064441A" w:rsidRPr="0064441A">
        <w:t>isability</w:t>
      </w:r>
    </w:p>
    <w:p w:rsidR="00EE6717" w:rsidRPr="00EE6717" w:rsidRDefault="00F21B9E" w:rsidP="0064441A">
      <w:pPr>
        <w:pStyle w:val="BodyText"/>
      </w:pPr>
      <w:r>
        <w:t xml:space="preserve">The </w:t>
      </w:r>
      <w:r w:rsidR="00CA61FE">
        <w:t>m</w:t>
      </w:r>
      <w:r>
        <w:t>edical d</w:t>
      </w:r>
      <w:r w:rsidR="00EE6717" w:rsidRPr="00EE6717">
        <w:t xml:space="preserve">isability was updated </w:t>
      </w:r>
      <w:r w:rsidR="00EE6717">
        <w:t>so that a flat percentage i</w:t>
      </w:r>
      <w:r w:rsidR="00EE6717" w:rsidRPr="00EE6717">
        <w:t xml:space="preserve">s applied to the expenditure of all local governments with a maximum allowance of $75,000. The total </w:t>
      </w:r>
      <w:r w:rsidR="003A17CC">
        <w:t xml:space="preserve">value of the </w:t>
      </w:r>
      <w:r w:rsidR="00EE6717" w:rsidRPr="00EE6717">
        <w:t xml:space="preserve">disability was increased by $685,000 to $2 million. </w:t>
      </w:r>
    </w:p>
    <w:p w:rsidR="00EE6717" w:rsidRPr="006C089B" w:rsidRDefault="0064441A" w:rsidP="000C4373">
      <w:pPr>
        <w:pStyle w:val="Heading3"/>
      </w:pPr>
      <w:r w:rsidRPr="006C089B">
        <w:t xml:space="preserve">Aboriginality </w:t>
      </w:r>
      <w:r w:rsidR="00CA61FE">
        <w:t>d</w:t>
      </w:r>
      <w:r w:rsidRPr="006C089B">
        <w:t>isability</w:t>
      </w:r>
    </w:p>
    <w:p w:rsidR="00954493" w:rsidRDefault="00EE6717" w:rsidP="0064441A">
      <w:pPr>
        <w:pStyle w:val="BodyText"/>
      </w:pPr>
      <w:r w:rsidRPr="00EE6717">
        <w:t xml:space="preserve">Updated </w:t>
      </w:r>
      <w:r w:rsidR="00446B7F">
        <w:t>Aboriginal</w:t>
      </w:r>
      <w:r w:rsidRPr="00EE6717">
        <w:t xml:space="preserve"> population data was sourced for 2015</w:t>
      </w:r>
      <w:r w:rsidR="00CA61FE">
        <w:t>-</w:t>
      </w:r>
      <w:r w:rsidRPr="00EE6717">
        <w:t>16. The A</w:t>
      </w:r>
      <w:r w:rsidR="00CA61FE">
        <w:t xml:space="preserve">ustralian </w:t>
      </w:r>
      <w:r w:rsidRPr="00EE6717">
        <w:t>B</w:t>
      </w:r>
      <w:r w:rsidR="00CA61FE">
        <w:t xml:space="preserve">ureau of </w:t>
      </w:r>
      <w:r w:rsidRPr="00EE6717">
        <w:t>S</w:t>
      </w:r>
      <w:r w:rsidR="00CA61FE">
        <w:t>tatistics</w:t>
      </w:r>
      <w:r w:rsidRPr="00EE6717">
        <w:t xml:space="preserve"> has published a more accurate data set capturing more people than the previous data set.</w:t>
      </w:r>
    </w:p>
    <w:p w:rsidR="00EE6717" w:rsidRPr="00EE6717" w:rsidRDefault="00954493" w:rsidP="0064441A">
      <w:pPr>
        <w:pStyle w:val="BodyText"/>
      </w:pPr>
      <w:r w:rsidRPr="00EE6717">
        <w:t xml:space="preserve"> </w:t>
      </w:r>
      <w:r w:rsidR="00EE6717" w:rsidRPr="00EE6717">
        <w:t>[3238.0.55.001 Estimates of Aboriginal and Torres Strait Islander Australians, June 2011]</w:t>
      </w:r>
    </w:p>
    <w:p w:rsidR="00EE6717" w:rsidRPr="006C089B" w:rsidRDefault="00CA61FE" w:rsidP="000C4373">
      <w:pPr>
        <w:pStyle w:val="Heading3"/>
      </w:pPr>
      <w:r>
        <w:t>Location d</w:t>
      </w:r>
      <w:r w:rsidR="006C089B" w:rsidRPr="006C089B">
        <w:t>isability</w:t>
      </w:r>
    </w:p>
    <w:p w:rsidR="00EE6717" w:rsidRPr="00EE6717" w:rsidRDefault="00EE6717" w:rsidP="0064441A">
      <w:pPr>
        <w:pStyle w:val="BodyText"/>
      </w:pPr>
      <w:r w:rsidRPr="00EE6717">
        <w:t xml:space="preserve">The </w:t>
      </w:r>
      <w:r w:rsidR="00C12244">
        <w:t>l</w:t>
      </w:r>
      <w:r w:rsidRPr="00EE6717">
        <w:t xml:space="preserve">ocation </w:t>
      </w:r>
      <w:r w:rsidR="00F21B9E">
        <w:t>d</w:t>
      </w:r>
      <w:r w:rsidRPr="00EE6717">
        <w:t xml:space="preserve">isability data set has been updated from </w:t>
      </w:r>
      <w:r w:rsidR="000078A3">
        <w:t>Accessibility/Remoteness Index Australia (</w:t>
      </w:r>
      <w:r w:rsidRPr="00EE6717">
        <w:t>ARIA+</w:t>
      </w:r>
      <w:r w:rsidR="000078A3">
        <w:t>)</w:t>
      </w:r>
      <w:r w:rsidRPr="00EE6717">
        <w:t xml:space="preserve"> to ARIA++. This resulted in a number of changes in scores for local governments. A local government can now receive a maximum score of 18 compared to 15 in the past. This is a result of the inclusion of a 6th band of population centres in the ARIA++ data. The Commission has elected to use the administration centre ARIA++ score (as was done with the ARIA+ score), however</w:t>
      </w:r>
      <w:r w:rsidR="003A17CC">
        <w:t xml:space="preserve"> the Shire of </w:t>
      </w:r>
      <w:r w:rsidRPr="00EE6717">
        <w:t>Serpentine-Jarrahdale has been excluded on the basis that it is classified as a metropolitan local government by the Commission.</w:t>
      </w:r>
    </w:p>
    <w:p w:rsidR="00EE6717" w:rsidRPr="006C089B" w:rsidRDefault="006C089B" w:rsidP="000C4373">
      <w:pPr>
        <w:pStyle w:val="Heading3"/>
      </w:pPr>
      <w:r w:rsidRPr="006C089B">
        <w:t xml:space="preserve">Population </w:t>
      </w:r>
      <w:r w:rsidR="00CA61FE">
        <w:t>d</w:t>
      </w:r>
      <w:r w:rsidRPr="006C089B">
        <w:t>ispersion</w:t>
      </w:r>
    </w:p>
    <w:p w:rsidR="00EE6717" w:rsidRPr="00EE6717" w:rsidRDefault="00EE6717" w:rsidP="0064441A">
      <w:pPr>
        <w:pStyle w:val="BodyText"/>
      </w:pPr>
      <w:r w:rsidRPr="00EE6717">
        <w:t xml:space="preserve">The only significant change was a correction to the Shire of Dandaragan, where the administration centre was </w:t>
      </w:r>
      <w:r w:rsidR="00792BE4">
        <w:t xml:space="preserve">previously </w:t>
      </w:r>
      <w:r w:rsidRPr="00EE6717">
        <w:t xml:space="preserve">listed as Dandaragan rather than Jurien Bay. This resulted in a significant reduction in their </w:t>
      </w:r>
      <w:r w:rsidR="00AC19FC">
        <w:t>p</w:t>
      </w:r>
      <w:r w:rsidRPr="00EE6717">
        <w:t xml:space="preserve">opulation </w:t>
      </w:r>
      <w:r w:rsidR="00AC19FC">
        <w:t>d</w:t>
      </w:r>
      <w:r w:rsidRPr="00EE6717">
        <w:t>is</w:t>
      </w:r>
      <w:r w:rsidR="00F21B9E">
        <w:t>persion d</w:t>
      </w:r>
      <w:r w:rsidRPr="00EE6717">
        <w:t>isability.</w:t>
      </w:r>
    </w:p>
    <w:p w:rsidR="00EE6717" w:rsidRPr="006C089B" w:rsidRDefault="006C089B" w:rsidP="000C4373">
      <w:pPr>
        <w:pStyle w:val="Heading3"/>
      </w:pPr>
      <w:r w:rsidRPr="006C089B">
        <w:lastRenderedPageBreak/>
        <w:t xml:space="preserve">Growth </w:t>
      </w:r>
      <w:r w:rsidR="000078A3">
        <w:t>d</w:t>
      </w:r>
      <w:r w:rsidRPr="006C089B">
        <w:t>isability</w:t>
      </w:r>
    </w:p>
    <w:p w:rsidR="00EE6717" w:rsidRDefault="00EE6717" w:rsidP="0064441A">
      <w:pPr>
        <w:pStyle w:val="BodyText"/>
      </w:pPr>
      <w:r w:rsidRPr="00EE6717">
        <w:t>The Commission introduced a new policy whereby only those local governments with above average growth would receive a disability</w:t>
      </w:r>
      <w:r w:rsidR="003A17CC">
        <w:t xml:space="preserve"> allowance</w:t>
      </w:r>
      <w:r w:rsidRPr="00EE6717">
        <w:t>. A local government would be assessed on each individual growth period – 2010-2014 (ABS Historical Data), 2014-2018 (WA Tomorrow growth data) and 2018-2022 (WA Tomorrow Growth Data). These years were updated to be one year later than those used for the 2014</w:t>
      </w:r>
      <w:r w:rsidR="000078A3">
        <w:t>-</w:t>
      </w:r>
      <w:r w:rsidRPr="00EE6717">
        <w:t>15 determinations.</w:t>
      </w:r>
    </w:p>
    <w:p w:rsidR="00EE6717" w:rsidRPr="006C089B" w:rsidRDefault="00EE6717" w:rsidP="000C4373">
      <w:pPr>
        <w:pStyle w:val="Heading3"/>
      </w:pPr>
      <w:r w:rsidRPr="006C089B">
        <w:t>S</w:t>
      </w:r>
      <w:r w:rsidR="000078A3">
        <w:t>ocio-economic d</w:t>
      </w:r>
      <w:r w:rsidR="006C089B" w:rsidRPr="006C089B">
        <w:t xml:space="preserve">isadvantage </w:t>
      </w:r>
      <w:r w:rsidR="000078A3">
        <w:t>d</w:t>
      </w:r>
      <w:r w:rsidR="006C089B" w:rsidRPr="006C089B">
        <w:t>isability</w:t>
      </w:r>
    </w:p>
    <w:p w:rsidR="00EE6717" w:rsidRPr="00EE6717" w:rsidRDefault="00EE6717" w:rsidP="0064441A">
      <w:pPr>
        <w:pStyle w:val="BodyText"/>
      </w:pPr>
      <w:r w:rsidRPr="00EE6717">
        <w:t>Rank</w:t>
      </w:r>
      <w:r w:rsidR="003A17CC">
        <w:t>ings</w:t>
      </w:r>
      <w:r w:rsidRPr="00EE6717">
        <w:t xml:space="preserve"> within the disability were updated to reflect </w:t>
      </w:r>
      <w:r w:rsidR="00961173">
        <w:t xml:space="preserve">more detailed </w:t>
      </w:r>
      <w:r w:rsidRPr="00EE6717">
        <w:t>S</w:t>
      </w:r>
      <w:r w:rsidR="000078A3">
        <w:t>ocio-Economic Indexes for Area (S</w:t>
      </w:r>
      <w:r w:rsidRPr="00EE6717">
        <w:t>EIFA</w:t>
      </w:r>
      <w:r w:rsidR="000078A3">
        <w:t>)</w:t>
      </w:r>
      <w:r w:rsidRPr="00EE6717">
        <w:t xml:space="preserve"> scores </w:t>
      </w:r>
      <w:r w:rsidR="00961173">
        <w:t>based on two decimal points</w:t>
      </w:r>
      <w:r w:rsidRPr="00EE6717">
        <w:t>. Previously local governments with the same whole number SEIFA score could not be separated.</w:t>
      </w:r>
    </w:p>
    <w:p w:rsidR="00EE6717" w:rsidRPr="006C089B" w:rsidRDefault="006C089B" w:rsidP="000C4373">
      <w:pPr>
        <w:pStyle w:val="Heading3"/>
      </w:pPr>
      <w:r w:rsidRPr="006C089B">
        <w:t xml:space="preserve">Shire of Gingin </w:t>
      </w:r>
      <w:r w:rsidR="000078A3">
        <w:t>e</w:t>
      </w:r>
      <w:r w:rsidRPr="006C089B">
        <w:t xml:space="preserve">qualisation </w:t>
      </w:r>
      <w:r w:rsidR="000078A3">
        <w:t>a</w:t>
      </w:r>
      <w:r w:rsidRPr="006C089B">
        <w:t>djustment</w:t>
      </w:r>
    </w:p>
    <w:p w:rsidR="00EE6717" w:rsidRPr="00EE6717" w:rsidRDefault="00EE6717" w:rsidP="0064441A">
      <w:pPr>
        <w:pStyle w:val="BodyText"/>
      </w:pPr>
      <w:r w:rsidRPr="00EE6717">
        <w:t xml:space="preserve">Retrospective increases of $20,000 have been applied to the final equalisation for the Shire of Gingin for the past 2 years, consistent with the Commission’s policy of rectifying errors that were not the fault of a local government. An increase to the </w:t>
      </w:r>
      <w:r w:rsidR="000078A3">
        <w:t>s</w:t>
      </w:r>
      <w:r w:rsidRPr="00EE6717">
        <w:t xml:space="preserve">pecial </w:t>
      </w:r>
      <w:r w:rsidR="000078A3">
        <w:t>n</w:t>
      </w:r>
      <w:r w:rsidRPr="00EE6717">
        <w:t>eeds allowance was adopted</w:t>
      </w:r>
      <w:r w:rsidR="000078A3">
        <w:t xml:space="preserve"> by the Commission for the 2013-</w:t>
      </w:r>
      <w:r w:rsidRPr="00EE6717">
        <w:t xml:space="preserve">14 determinations however this was not </w:t>
      </w:r>
      <w:r w:rsidR="00961173">
        <w:t xml:space="preserve">previously </w:t>
      </w:r>
      <w:r w:rsidRPr="00EE6717">
        <w:t xml:space="preserve">applied. </w:t>
      </w:r>
    </w:p>
    <w:p w:rsidR="00EE6717" w:rsidRPr="006C089B" w:rsidRDefault="000078A3" w:rsidP="000C4373">
      <w:pPr>
        <w:pStyle w:val="Heading3"/>
      </w:pPr>
      <w:r>
        <w:t>Equalisation a</w:t>
      </w:r>
      <w:r w:rsidR="006C089B" w:rsidRPr="006C089B">
        <w:t>veraging</w:t>
      </w:r>
    </w:p>
    <w:p w:rsidR="00EE6717" w:rsidRPr="00EE6717" w:rsidRDefault="00896F91" w:rsidP="0064441A">
      <w:pPr>
        <w:pStyle w:val="BodyText"/>
      </w:pPr>
      <w:r>
        <w:t>Five</w:t>
      </w:r>
      <w:r w:rsidR="00EE6717" w:rsidRPr="00EE6717">
        <w:t xml:space="preserve"> years of equalisations </w:t>
      </w:r>
      <w:r w:rsidR="00B07B20">
        <w:t xml:space="preserve">calculated by the Commission </w:t>
      </w:r>
      <w:r>
        <w:t xml:space="preserve">are now available. For </w:t>
      </w:r>
      <w:r w:rsidR="00446B7F">
        <w:t xml:space="preserve">the </w:t>
      </w:r>
      <w:r>
        <w:t>2015</w:t>
      </w:r>
      <w:r w:rsidR="000078A3">
        <w:t>-</w:t>
      </w:r>
      <w:r>
        <w:t>16 grant determinations</w:t>
      </w:r>
      <w:r w:rsidR="00EE6717" w:rsidRPr="00EE6717">
        <w:t xml:space="preserve"> </w:t>
      </w:r>
      <w:r>
        <w:t xml:space="preserve">five </w:t>
      </w:r>
      <w:r w:rsidR="00EE6717" w:rsidRPr="00EE6717">
        <w:t xml:space="preserve">year </w:t>
      </w:r>
      <w:r>
        <w:t xml:space="preserve">equalisation </w:t>
      </w:r>
      <w:r w:rsidR="00EE6717" w:rsidRPr="00EE6717">
        <w:t xml:space="preserve">averages were implemented. The Commission will need to consider whether it reverts to the </w:t>
      </w:r>
      <w:r>
        <w:t>four</w:t>
      </w:r>
      <w:r w:rsidR="00EE6717" w:rsidRPr="00EE6717">
        <w:t xml:space="preserve"> year high/low met</w:t>
      </w:r>
      <w:r w:rsidR="00AC19FC">
        <w:t>hod of averaging in 2016-</w:t>
      </w:r>
      <w:r>
        <w:t xml:space="preserve">17. This </w:t>
      </w:r>
      <w:r w:rsidR="00EE6717" w:rsidRPr="00EE6717">
        <w:t xml:space="preserve">method averages </w:t>
      </w:r>
      <w:r>
        <w:t>four</w:t>
      </w:r>
      <w:r w:rsidR="00EE6717" w:rsidRPr="00EE6717">
        <w:t xml:space="preserve"> of</w:t>
      </w:r>
      <w:r>
        <w:t xml:space="preserve"> the most recent</w:t>
      </w:r>
      <w:r w:rsidR="00EE6717" w:rsidRPr="00EE6717">
        <w:t xml:space="preserve"> </w:t>
      </w:r>
      <w:r>
        <w:t>six</w:t>
      </w:r>
      <w:r w:rsidR="00EE6717" w:rsidRPr="00EE6717">
        <w:t xml:space="preserve"> years of equalisation</w:t>
      </w:r>
      <w:r w:rsidR="00446B7F">
        <w:t>s</w:t>
      </w:r>
      <w:r w:rsidR="00EE6717" w:rsidRPr="00EE6717">
        <w:t xml:space="preserve"> after the highest and lowest figures are removed. </w:t>
      </w:r>
    </w:p>
    <w:p w:rsidR="00E506FD" w:rsidRPr="006C089B" w:rsidRDefault="00E506FD" w:rsidP="006C089B">
      <w:pPr>
        <w:pStyle w:val="Heading3"/>
      </w:pPr>
      <w:r w:rsidRPr="006C089B">
        <w:t xml:space="preserve">Planned reviews </w:t>
      </w:r>
    </w:p>
    <w:p w:rsidR="00E506FD" w:rsidRDefault="00861BC4" w:rsidP="0064441A">
      <w:pPr>
        <w:pStyle w:val="BodyText"/>
      </w:pPr>
      <w:r>
        <w:t xml:space="preserve">The </w:t>
      </w:r>
      <w:r w:rsidR="008628BC">
        <w:t>Commission</w:t>
      </w:r>
      <w:r>
        <w:t xml:space="preserve"> is continuing to analyse </w:t>
      </w:r>
      <w:r w:rsidR="008628BC">
        <w:t xml:space="preserve">the non-resident population issue which encompasses </w:t>
      </w:r>
      <w:r w:rsidR="004409EC">
        <w:t xml:space="preserve">the impacts of </w:t>
      </w:r>
      <w:r w:rsidR="008628BC">
        <w:t>tourism, transient workforces and regional centre</w:t>
      </w:r>
      <w:r w:rsidR="004409EC">
        <w:t>s</w:t>
      </w:r>
      <w:r w:rsidR="008628BC">
        <w:t>.</w:t>
      </w:r>
      <w:r w:rsidR="009C7BD7">
        <w:t xml:space="preserve"> </w:t>
      </w:r>
      <w:r w:rsidR="008628BC">
        <w:t xml:space="preserve">The Commission is attempting to </w:t>
      </w:r>
      <w:r w:rsidR="009C7BD7">
        <w:t>quantify</w:t>
      </w:r>
      <w:r w:rsidR="008628BC">
        <w:t xml:space="preserve"> the recurrent expenditure related to these groups and associated revenues. </w:t>
      </w:r>
    </w:p>
    <w:p w:rsidR="00D35B55" w:rsidRDefault="00D35B55" w:rsidP="0064441A">
      <w:pPr>
        <w:pStyle w:val="BodyText"/>
      </w:pPr>
      <w:r>
        <w:br w:type="page"/>
      </w:r>
    </w:p>
    <w:p w:rsidR="008628BC" w:rsidRDefault="008628BC" w:rsidP="0064441A">
      <w:pPr>
        <w:pStyle w:val="BodyText"/>
      </w:pPr>
      <w:r>
        <w:lastRenderedPageBreak/>
        <w:t xml:space="preserve">The Commission is also undertaking a review of data included as part of the </w:t>
      </w:r>
      <w:r w:rsidR="00AC19FC">
        <w:t>m</w:t>
      </w:r>
      <w:r>
        <w:t xml:space="preserve">edical </w:t>
      </w:r>
      <w:r w:rsidR="004409EC">
        <w:t>d</w:t>
      </w:r>
      <w:r>
        <w:t xml:space="preserve">isability. Whilst traditionally </w:t>
      </w:r>
      <w:r w:rsidR="009C7BD7">
        <w:t xml:space="preserve">the Commission has </w:t>
      </w:r>
      <w:r>
        <w:t>only consider</w:t>
      </w:r>
      <w:r w:rsidR="009C7BD7">
        <w:t>ed</w:t>
      </w:r>
      <w:r>
        <w:t xml:space="preserve"> expenditure on doctors</w:t>
      </w:r>
      <w:r w:rsidR="009C7BD7">
        <w:t xml:space="preserve"> for calculation of the disability</w:t>
      </w:r>
      <w:r>
        <w:t>, the Commission is</w:t>
      </w:r>
      <w:r w:rsidR="009C7BD7">
        <w:t xml:space="preserve"> now</w:t>
      </w:r>
      <w:r>
        <w:t xml:space="preserve"> </w:t>
      </w:r>
      <w:r w:rsidR="009C7BD7">
        <w:t>assessing</w:t>
      </w:r>
      <w:r>
        <w:t xml:space="preserve"> whether</w:t>
      </w:r>
      <w:r w:rsidR="009C7BD7">
        <w:t xml:space="preserve"> it is appropriate</w:t>
      </w:r>
      <w:r>
        <w:t xml:space="preserve"> to broaden the definition. </w:t>
      </w:r>
      <w:r w:rsidR="00AC19FC">
        <w:t>Data collected through the 2014-</w:t>
      </w:r>
      <w:r>
        <w:t xml:space="preserve">15 </w:t>
      </w:r>
      <w:r w:rsidR="009C7BD7">
        <w:t xml:space="preserve">WA Local Government Grants Commission </w:t>
      </w:r>
      <w:r>
        <w:t>Information Return submitted by local governments will be analysed through this process.</w:t>
      </w:r>
    </w:p>
    <w:p w:rsidR="0057034F" w:rsidRDefault="009C7BD7" w:rsidP="0064441A">
      <w:pPr>
        <w:pStyle w:val="BodyText"/>
      </w:pPr>
      <w:r>
        <w:t>The Commission is looking to iden</w:t>
      </w:r>
      <w:r w:rsidR="00AC19FC">
        <w:t>tify a new data source for the t</w:t>
      </w:r>
      <w:r>
        <w:t xml:space="preserve">errain disability. </w:t>
      </w:r>
      <w:r w:rsidR="0057034F">
        <w:t>The data currently used</w:t>
      </w:r>
      <w:r w:rsidR="00AC19FC">
        <w:t>,</w:t>
      </w:r>
      <w:r w:rsidR="0057034F">
        <w:t xml:space="preserve"> whilst still considered to be adequate</w:t>
      </w:r>
      <w:r w:rsidR="00AC19FC">
        <w:t>,</w:t>
      </w:r>
      <w:r w:rsidR="0057034F">
        <w:t xml:space="preserve"> has aged and a new method of identifying a local </w:t>
      </w:r>
      <w:r w:rsidR="0069508C">
        <w:t>government’s</w:t>
      </w:r>
      <w:r w:rsidR="0057034F">
        <w:t xml:space="preserve"> fire risk is being sought.</w:t>
      </w:r>
    </w:p>
    <w:p w:rsidR="00CF60CB" w:rsidRDefault="00AC19FC" w:rsidP="0064441A">
      <w:pPr>
        <w:pStyle w:val="BodyText"/>
        <w:sectPr w:rsidR="00CF60CB" w:rsidSect="003120D7">
          <w:pgSz w:w="11906" w:h="16838"/>
          <w:pgMar w:top="1418" w:right="1418" w:bottom="1134" w:left="1418" w:header="709" w:footer="709" w:gutter="0"/>
          <w:cols w:space="69"/>
          <w:docGrid w:linePitch="360"/>
        </w:sectPr>
      </w:pPr>
      <w:r>
        <w:t>The t</w:t>
      </w:r>
      <w:r w:rsidR="0057034F">
        <w:t xml:space="preserve">ransport </w:t>
      </w:r>
      <w:r>
        <w:t>s</w:t>
      </w:r>
      <w:r w:rsidR="0057034F">
        <w:t xml:space="preserve">tandard has been flagged for review as concerns exist over its </w:t>
      </w:r>
      <w:r w:rsidR="004409EC">
        <w:t xml:space="preserve">potential </w:t>
      </w:r>
      <w:r w:rsidR="0057034F">
        <w:t xml:space="preserve">influence within the </w:t>
      </w:r>
      <w:r>
        <w:t>b</w:t>
      </w:r>
      <w:r w:rsidR="0057034F">
        <w:t xml:space="preserve">alanced </w:t>
      </w:r>
      <w:r>
        <w:t>b</w:t>
      </w:r>
      <w:r w:rsidR="0057034F">
        <w:t>udget</w:t>
      </w:r>
      <w:r w:rsidR="00622BC6">
        <w:t>. L</w:t>
      </w:r>
      <w:r w:rsidR="0057034F">
        <w:t xml:space="preserve">ocal governments with </w:t>
      </w:r>
      <w:r w:rsidR="00622BC6">
        <w:t>large road networks often ha</w:t>
      </w:r>
      <w:r w:rsidR="004409EC">
        <w:t>ve significant swings in their e</w:t>
      </w:r>
      <w:r w:rsidR="00622BC6">
        <w:t xml:space="preserve">qualisation from year to year </w:t>
      </w:r>
      <w:r w:rsidR="004409EC">
        <w:t>largely</w:t>
      </w:r>
      <w:r w:rsidR="00622BC6">
        <w:t xml:space="preserve"> because of </w:t>
      </w:r>
      <w:r w:rsidR="004409EC">
        <w:t xml:space="preserve">variations in </w:t>
      </w:r>
      <w:r w:rsidR="00622BC6">
        <w:t>this standard.</w:t>
      </w:r>
    </w:p>
    <w:p w:rsidR="00E506FD" w:rsidRPr="0053081F" w:rsidRDefault="00E506FD" w:rsidP="00FE11C3">
      <w:pPr>
        <w:pStyle w:val="BodyText-nospacebelow"/>
        <w:rPr>
          <w:rStyle w:val="Emphasis"/>
        </w:rPr>
      </w:pPr>
      <w:r w:rsidRPr="0053081F">
        <w:rPr>
          <w:rStyle w:val="Emphasis"/>
        </w:rPr>
        <w:lastRenderedPageBreak/>
        <w:t xml:space="preserve">Disability </w:t>
      </w:r>
      <w:r w:rsidR="00AC19FC">
        <w:rPr>
          <w:rStyle w:val="Emphasis"/>
        </w:rPr>
        <w:t>a</w:t>
      </w:r>
      <w:r w:rsidR="001C564F" w:rsidRPr="0053081F">
        <w:rPr>
          <w:rStyle w:val="Emphasis"/>
        </w:rPr>
        <w:t xml:space="preserve">llocation </w:t>
      </w:r>
      <w:r w:rsidR="00AC19FC">
        <w:rPr>
          <w:rStyle w:val="Emphasis"/>
        </w:rPr>
        <w:t>s</w:t>
      </w:r>
      <w:r w:rsidR="001C564F" w:rsidRPr="0053081F">
        <w:rPr>
          <w:rStyle w:val="Emphasis"/>
        </w:rPr>
        <w:t>ummary</w:t>
      </w:r>
    </w:p>
    <w:p w:rsidR="00E9277E" w:rsidRDefault="00E9277E" w:rsidP="00E9277E">
      <w:r>
        <w:t>Below is a summary of the 12 disability factors applied to the general purpose grants:</w:t>
      </w:r>
    </w:p>
    <w:tbl>
      <w:tblPr>
        <w:tblStyle w:val="Table-DeepSea"/>
        <w:tblW w:w="13861" w:type="dxa"/>
        <w:tblLook w:val="04A0" w:firstRow="1" w:lastRow="0" w:firstColumn="1" w:lastColumn="0" w:noHBand="0" w:noVBand="1"/>
        <w:tblCaption w:val="Disability Allocation Summary"/>
        <w:tblDescription w:val="A table identifiying how many local governments receive each individual disability and the largest, total and mean allowances"/>
      </w:tblPr>
      <w:tblGrid>
        <w:gridCol w:w="3615"/>
        <w:gridCol w:w="1895"/>
        <w:gridCol w:w="2757"/>
        <w:gridCol w:w="1848"/>
        <w:gridCol w:w="1563"/>
        <w:gridCol w:w="2183"/>
      </w:tblGrid>
      <w:tr w:rsidR="00A34BA0" w:rsidRPr="002A6DA4" w:rsidTr="00833DAB">
        <w:trPr>
          <w:cnfStyle w:val="100000000000" w:firstRow="1" w:lastRow="0" w:firstColumn="0" w:lastColumn="0" w:oddVBand="0" w:evenVBand="0" w:oddHBand="0" w:evenHBand="0" w:firstRowFirstColumn="0" w:firstRowLastColumn="0" w:lastRowFirstColumn="0" w:lastRowLastColumn="0"/>
          <w:trHeight w:val="1232"/>
          <w:tblHeader/>
        </w:trPr>
        <w:tc>
          <w:tcPr>
            <w:tcW w:w="3615" w:type="dxa"/>
          </w:tcPr>
          <w:p w:rsidR="00A34BA0" w:rsidRPr="002A6DA4" w:rsidRDefault="00A34BA0" w:rsidP="00654B68">
            <w:r w:rsidRPr="002A6DA4">
              <w:t>Disability Factor</w:t>
            </w:r>
          </w:p>
        </w:tc>
        <w:tc>
          <w:tcPr>
            <w:tcW w:w="1895" w:type="dxa"/>
          </w:tcPr>
          <w:p w:rsidR="00A34BA0" w:rsidRPr="002A6DA4" w:rsidRDefault="00A34BA0" w:rsidP="00654B68">
            <w:r w:rsidRPr="002A6DA4">
              <w:t>No. of LGs receiving allowance</w:t>
            </w:r>
          </w:p>
        </w:tc>
        <w:tc>
          <w:tcPr>
            <w:tcW w:w="2757" w:type="dxa"/>
          </w:tcPr>
          <w:p w:rsidR="00A34BA0" w:rsidRPr="002A6DA4" w:rsidRDefault="00A34BA0" w:rsidP="00654B68">
            <w:r w:rsidRPr="002A6DA4">
              <w:t>Largest $ Allowance</w:t>
            </w:r>
          </w:p>
        </w:tc>
        <w:tc>
          <w:tcPr>
            <w:tcW w:w="1848" w:type="dxa"/>
          </w:tcPr>
          <w:p w:rsidR="00A34BA0" w:rsidRPr="002A6DA4" w:rsidRDefault="00A34BA0" w:rsidP="00654B68">
            <w:r w:rsidRPr="002A6DA4">
              <w:t>Largest Allowance in $</w:t>
            </w:r>
          </w:p>
        </w:tc>
        <w:tc>
          <w:tcPr>
            <w:tcW w:w="1563" w:type="dxa"/>
          </w:tcPr>
          <w:p w:rsidR="00A34BA0" w:rsidRPr="002A6DA4" w:rsidRDefault="00A34BA0" w:rsidP="00654B68">
            <w:r w:rsidRPr="002A6DA4">
              <w:t>Total Disability</w:t>
            </w:r>
          </w:p>
        </w:tc>
        <w:tc>
          <w:tcPr>
            <w:tcW w:w="2183" w:type="dxa"/>
          </w:tcPr>
          <w:p w:rsidR="00A34BA0" w:rsidRPr="002A6DA4" w:rsidRDefault="00A34BA0" w:rsidP="00654B68">
            <w:r w:rsidRPr="002A6DA4">
              <w:t>Mean allowance</w:t>
            </w:r>
          </w:p>
        </w:tc>
      </w:tr>
      <w:tr w:rsidR="00A34BA0" w:rsidRPr="00654B68" w:rsidTr="002A6DA4">
        <w:trPr>
          <w:trHeight w:val="410"/>
        </w:trPr>
        <w:tc>
          <w:tcPr>
            <w:tcW w:w="3615" w:type="dxa"/>
          </w:tcPr>
          <w:p w:rsidR="00A34BA0" w:rsidRPr="00654B68" w:rsidRDefault="00A34BA0" w:rsidP="00B37949">
            <w:r w:rsidRPr="00654B68">
              <w:t>Location</w:t>
            </w:r>
          </w:p>
        </w:tc>
        <w:tc>
          <w:tcPr>
            <w:tcW w:w="1895" w:type="dxa"/>
          </w:tcPr>
          <w:p w:rsidR="00A34BA0" w:rsidRPr="00654B68" w:rsidRDefault="00A34BA0" w:rsidP="00446B7F">
            <w:pPr>
              <w:jc w:val="center"/>
            </w:pPr>
            <w:r w:rsidRPr="00654B68">
              <w:t>107</w:t>
            </w:r>
          </w:p>
        </w:tc>
        <w:tc>
          <w:tcPr>
            <w:tcW w:w="2757" w:type="dxa"/>
          </w:tcPr>
          <w:p w:rsidR="00A34BA0" w:rsidRPr="00654B68" w:rsidRDefault="00A34BA0" w:rsidP="00B37949">
            <w:r w:rsidRPr="00654B68">
              <w:t>Greater Geraldton</w:t>
            </w:r>
          </w:p>
        </w:tc>
        <w:tc>
          <w:tcPr>
            <w:tcW w:w="1848" w:type="dxa"/>
          </w:tcPr>
          <w:p w:rsidR="00A34BA0" w:rsidRPr="00654B68" w:rsidRDefault="00A34BA0" w:rsidP="00BF60D5">
            <w:pPr>
              <w:jc w:val="center"/>
            </w:pPr>
            <w:r w:rsidRPr="00654B68">
              <w:t>$1,641,281</w:t>
            </w:r>
          </w:p>
        </w:tc>
        <w:tc>
          <w:tcPr>
            <w:tcW w:w="1563" w:type="dxa"/>
          </w:tcPr>
          <w:p w:rsidR="00A34BA0" w:rsidRPr="00654B68" w:rsidRDefault="00A34BA0" w:rsidP="00B37949">
            <w:pPr>
              <w:jc w:val="center"/>
            </w:pPr>
            <w:r w:rsidRPr="00654B68">
              <w:t>$52,469,966</w:t>
            </w:r>
          </w:p>
        </w:tc>
        <w:tc>
          <w:tcPr>
            <w:tcW w:w="2183" w:type="dxa"/>
          </w:tcPr>
          <w:p w:rsidR="00A34BA0" w:rsidRPr="00654B68" w:rsidRDefault="00A34BA0" w:rsidP="00B37949">
            <w:pPr>
              <w:jc w:val="center"/>
            </w:pPr>
            <w:r w:rsidRPr="00654B68">
              <w:t>$490,373</w:t>
            </w:r>
          </w:p>
        </w:tc>
      </w:tr>
      <w:tr w:rsidR="00A34BA0" w:rsidRPr="00654B68" w:rsidTr="002A6DA4">
        <w:trPr>
          <w:trHeight w:val="387"/>
        </w:trPr>
        <w:tc>
          <w:tcPr>
            <w:tcW w:w="3615" w:type="dxa"/>
          </w:tcPr>
          <w:p w:rsidR="00A34BA0" w:rsidRPr="00654B68" w:rsidRDefault="00A34BA0" w:rsidP="00B37949">
            <w:r w:rsidRPr="00654B68">
              <w:t>Socio Economic Disadvantage</w:t>
            </w:r>
          </w:p>
        </w:tc>
        <w:tc>
          <w:tcPr>
            <w:tcW w:w="1895" w:type="dxa"/>
          </w:tcPr>
          <w:p w:rsidR="00A34BA0" w:rsidRPr="00654B68" w:rsidRDefault="00A34BA0" w:rsidP="00446B7F">
            <w:pPr>
              <w:jc w:val="center"/>
            </w:pPr>
            <w:r w:rsidRPr="00654B68">
              <w:t>77</w:t>
            </w:r>
          </w:p>
        </w:tc>
        <w:tc>
          <w:tcPr>
            <w:tcW w:w="2757" w:type="dxa"/>
          </w:tcPr>
          <w:p w:rsidR="00A34BA0" w:rsidRPr="00654B68" w:rsidRDefault="00A34BA0" w:rsidP="00B37949">
            <w:r w:rsidRPr="00654B68">
              <w:t>Mandurah*</w:t>
            </w:r>
          </w:p>
        </w:tc>
        <w:tc>
          <w:tcPr>
            <w:tcW w:w="1848" w:type="dxa"/>
          </w:tcPr>
          <w:p w:rsidR="00A34BA0" w:rsidRPr="00654B68" w:rsidRDefault="00A34BA0" w:rsidP="00BF60D5">
            <w:pPr>
              <w:jc w:val="center"/>
            </w:pPr>
            <w:r w:rsidRPr="00654B68">
              <w:t>$1,225,597</w:t>
            </w:r>
          </w:p>
        </w:tc>
        <w:tc>
          <w:tcPr>
            <w:tcW w:w="1563" w:type="dxa"/>
          </w:tcPr>
          <w:p w:rsidR="00A34BA0" w:rsidRPr="00654B68" w:rsidRDefault="00A34BA0" w:rsidP="00B37949">
            <w:pPr>
              <w:jc w:val="center"/>
            </w:pPr>
            <w:r w:rsidRPr="00654B68">
              <w:t>$26,234,983</w:t>
            </w:r>
          </w:p>
        </w:tc>
        <w:tc>
          <w:tcPr>
            <w:tcW w:w="2183" w:type="dxa"/>
          </w:tcPr>
          <w:p w:rsidR="00A34BA0" w:rsidRPr="00654B68" w:rsidRDefault="00A34BA0" w:rsidP="00B37949">
            <w:pPr>
              <w:jc w:val="center"/>
            </w:pPr>
            <w:r w:rsidRPr="00654B68">
              <w:t>$340,714</w:t>
            </w:r>
          </w:p>
        </w:tc>
      </w:tr>
      <w:tr w:rsidR="00A34BA0" w:rsidRPr="00654B68" w:rsidTr="002A6DA4">
        <w:trPr>
          <w:trHeight w:val="410"/>
        </w:trPr>
        <w:tc>
          <w:tcPr>
            <w:tcW w:w="3615" w:type="dxa"/>
          </w:tcPr>
          <w:p w:rsidR="00A34BA0" w:rsidRPr="00654B68" w:rsidRDefault="00A34BA0" w:rsidP="00B37949">
            <w:r w:rsidRPr="00654B68">
              <w:t>Growth</w:t>
            </w:r>
          </w:p>
        </w:tc>
        <w:tc>
          <w:tcPr>
            <w:tcW w:w="1895" w:type="dxa"/>
          </w:tcPr>
          <w:p w:rsidR="00A34BA0" w:rsidRPr="00654B68" w:rsidRDefault="00A34BA0" w:rsidP="00446B7F">
            <w:pPr>
              <w:jc w:val="center"/>
            </w:pPr>
            <w:r w:rsidRPr="00654B68">
              <w:t>53</w:t>
            </w:r>
          </w:p>
        </w:tc>
        <w:tc>
          <w:tcPr>
            <w:tcW w:w="2757" w:type="dxa"/>
          </w:tcPr>
          <w:p w:rsidR="00A34BA0" w:rsidRPr="00654B68" w:rsidRDefault="00A34BA0" w:rsidP="00B37949">
            <w:r w:rsidRPr="00654B68">
              <w:t>Wanneroo*</w:t>
            </w:r>
          </w:p>
        </w:tc>
        <w:tc>
          <w:tcPr>
            <w:tcW w:w="1848" w:type="dxa"/>
          </w:tcPr>
          <w:p w:rsidR="00A34BA0" w:rsidRPr="00654B68" w:rsidRDefault="00A34BA0" w:rsidP="00BF60D5">
            <w:pPr>
              <w:jc w:val="center"/>
            </w:pPr>
            <w:r w:rsidRPr="00654B68">
              <w:t>$4,046,920</w:t>
            </w:r>
          </w:p>
        </w:tc>
        <w:tc>
          <w:tcPr>
            <w:tcW w:w="1563" w:type="dxa"/>
          </w:tcPr>
          <w:p w:rsidR="00A34BA0" w:rsidRPr="00654B68" w:rsidRDefault="00A34BA0" w:rsidP="00B37949">
            <w:pPr>
              <w:jc w:val="center"/>
            </w:pPr>
            <w:r w:rsidRPr="00654B68">
              <w:t>$26,234,983</w:t>
            </w:r>
          </w:p>
        </w:tc>
        <w:tc>
          <w:tcPr>
            <w:tcW w:w="2183" w:type="dxa"/>
          </w:tcPr>
          <w:p w:rsidR="00A34BA0" w:rsidRPr="00654B68" w:rsidRDefault="00A34BA0" w:rsidP="00B37949">
            <w:pPr>
              <w:jc w:val="center"/>
            </w:pPr>
            <w:r w:rsidRPr="00654B68">
              <w:t>$495,000</w:t>
            </w:r>
          </w:p>
        </w:tc>
      </w:tr>
      <w:tr w:rsidR="00A34BA0" w:rsidRPr="00654B68" w:rsidTr="002A6DA4">
        <w:trPr>
          <w:trHeight w:val="410"/>
        </w:trPr>
        <w:tc>
          <w:tcPr>
            <w:tcW w:w="3615" w:type="dxa"/>
          </w:tcPr>
          <w:p w:rsidR="00A34BA0" w:rsidRPr="00654B68" w:rsidRDefault="00A34BA0" w:rsidP="00B37949">
            <w:r w:rsidRPr="00654B68">
              <w:t>Population Dispersion</w:t>
            </w:r>
          </w:p>
        </w:tc>
        <w:tc>
          <w:tcPr>
            <w:tcW w:w="1895" w:type="dxa"/>
          </w:tcPr>
          <w:p w:rsidR="00A34BA0" w:rsidRPr="00654B68" w:rsidRDefault="00A34BA0" w:rsidP="00446B7F">
            <w:pPr>
              <w:jc w:val="center"/>
            </w:pPr>
            <w:r w:rsidRPr="00654B68">
              <w:t>55</w:t>
            </w:r>
          </w:p>
        </w:tc>
        <w:tc>
          <w:tcPr>
            <w:tcW w:w="2757" w:type="dxa"/>
          </w:tcPr>
          <w:p w:rsidR="00A34BA0" w:rsidRPr="00654B68" w:rsidRDefault="00A34BA0" w:rsidP="00B37949">
            <w:r w:rsidRPr="00654B68">
              <w:t>Wanneroo*</w:t>
            </w:r>
          </w:p>
        </w:tc>
        <w:tc>
          <w:tcPr>
            <w:tcW w:w="1848" w:type="dxa"/>
          </w:tcPr>
          <w:p w:rsidR="00A34BA0" w:rsidRPr="00654B68" w:rsidRDefault="00A34BA0" w:rsidP="00BF60D5">
            <w:pPr>
              <w:jc w:val="center"/>
            </w:pPr>
            <w:r w:rsidRPr="00654B68">
              <w:t>$1,589,466</w:t>
            </w:r>
          </w:p>
        </w:tc>
        <w:tc>
          <w:tcPr>
            <w:tcW w:w="1563" w:type="dxa"/>
          </w:tcPr>
          <w:p w:rsidR="00A34BA0" w:rsidRPr="00654B68" w:rsidRDefault="00A34BA0" w:rsidP="00B37949">
            <w:pPr>
              <w:jc w:val="center"/>
            </w:pPr>
            <w:r w:rsidRPr="00654B68">
              <w:t>$26,234,983</w:t>
            </w:r>
          </w:p>
        </w:tc>
        <w:tc>
          <w:tcPr>
            <w:tcW w:w="2183" w:type="dxa"/>
          </w:tcPr>
          <w:p w:rsidR="00A34BA0" w:rsidRPr="00654B68" w:rsidRDefault="00A34BA0" w:rsidP="00B37949">
            <w:pPr>
              <w:jc w:val="center"/>
            </w:pPr>
            <w:r w:rsidRPr="00654B68">
              <w:t>$477,000</w:t>
            </w:r>
          </w:p>
        </w:tc>
      </w:tr>
      <w:tr w:rsidR="00A34BA0" w:rsidRPr="00654B68" w:rsidTr="002A6DA4">
        <w:trPr>
          <w:trHeight w:val="410"/>
        </w:trPr>
        <w:tc>
          <w:tcPr>
            <w:tcW w:w="3615" w:type="dxa"/>
          </w:tcPr>
          <w:p w:rsidR="00A34BA0" w:rsidRPr="00654B68" w:rsidRDefault="00A34BA0" w:rsidP="00B37949">
            <w:r w:rsidRPr="00654B68">
              <w:t>Climate</w:t>
            </w:r>
          </w:p>
        </w:tc>
        <w:tc>
          <w:tcPr>
            <w:tcW w:w="1895" w:type="dxa"/>
          </w:tcPr>
          <w:p w:rsidR="00A34BA0" w:rsidRPr="00654B68" w:rsidRDefault="00A34BA0" w:rsidP="00446B7F">
            <w:pPr>
              <w:jc w:val="center"/>
            </w:pPr>
            <w:r w:rsidRPr="00654B68">
              <w:t>88</w:t>
            </w:r>
          </w:p>
        </w:tc>
        <w:tc>
          <w:tcPr>
            <w:tcW w:w="2757" w:type="dxa"/>
          </w:tcPr>
          <w:p w:rsidR="00A34BA0" w:rsidRPr="00654B68" w:rsidRDefault="00A34BA0" w:rsidP="00B37949">
            <w:r w:rsidRPr="00654B68">
              <w:t>Greater Geraldton</w:t>
            </w:r>
          </w:p>
        </w:tc>
        <w:tc>
          <w:tcPr>
            <w:tcW w:w="1848" w:type="dxa"/>
          </w:tcPr>
          <w:p w:rsidR="00A34BA0" w:rsidRPr="00654B68" w:rsidRDefault="00A34BA0" w:rsidP="00BF60D5">
            <w:pPr>
              <w:jc w:val="center"/>
            </w:pPr>
            <w:r w:rsidRPr="00654B68">
              <w:t>$905,038</w:t>
            </w:r>
          </w:p>
        </w:tc>
        <w:tc>
          <w:tcPr>
            <w:tcW w:w="1563" w:type="dxa"/>
          </w:tcPr>
          <w:p w:rsidR="00A34BA0" w:rsidRPr="00654B68" w:rsidRDefault="00A34BA0" w:rsidP="00B37949">
            <w:pPr>
              <w:jc w:val="center"/>
            </w:pPr>
            <w:r w:rsidRPr="00654B68">
              <w:t>$13,117,492</w:t>
            </w:r>
          </w:p>
        </w:tc>
        <w:tc>
          <w:tcPr>
            <w:tcW w:w="2183" w:type="dxa"/>
          </w:tcPr>
          <w:p w:rsidR="00A34BA0" w:rsidRPr="00654B68" w:rsidRDefault="00A34BA0" w:rsidP="00B37949">
            <w:pPr>
              <w:jc w:val="center"/>
            </w:pPr>
            <w:r w:rsidRPr="00654B68">
              <w:t>$149,062</w:t>
            </w:r>
          </w:p>
        </w:tc>
      </w:tr>
      <w:tr w:rsidR="00A34BA0" w:rsidRPr="00654B68" w:rsidTr="002A6DA4">
        <w:trPr>
          <w:trHeight w:val="387"/>
        </w:trPr>
        <w:tc>
          <w:tcPr>
            <w:tcW w:w="3615" w:type="dxa"/>
          </w:tcPr>
          <w:p w:rsidR="00A34BA0" w:rsidRPr="00654B68" w:rsidRDefault="00A34BA0" w:rsidP="00B37949">
            <w:r w:rsidRPr="00654B68">
              <w:t>Indigenous</w:t>
            </w:r>
          </w:p>
        </w:tc>
        <w:tc>
          <w:tcPr>
            <w:tcW w:w="1895" w:type="dxa"/>
          </w:tcPr>
          <w:p w:rsidR="00A34BA0" w:rsidRPr="00654B68" w:rsidRDefault="00A34BA0" w:rsidP="00446B7F">
            <w:pPr>
              <w:jc w:val="center"/>
            </w:pPr>
            <w:r w:rsidRPr="00654B68">
              <w:t>84</w:t>
            </w:r>
          </w:p>
        </w:tc>
        <w:tc>
          <w:tcPr>
            <w:tcW w:w="2757" w:type="dxa"/>
          </w:tcPr>
          <w:p w:rsidR="00A34BA0" w:rsidRPr="00654B68" w:rsidRDefault="00A34BA0" w:rsidP="00B37949">
            <w:r w:rsidRPr="00654B68">
              <w:t>Derby-West Kimberley</w:t>
            </w:r>
          </w:p>
        </w:tc>
        <w:tc>
          <w:tcPr>
            <w:tcW w:w="1848" w:type="dxa"/>
          </w:tcPr>
          <w:p w:rsidR="00A34BA0" w:rsidRPr="00654B68" w:rsidRDefault="00A34BA0" w:rsidP="00BF60D5">
            <w:pPr>
              <w:jc w:val="center"/>
            </w:pPr>
            <w:r w:rsidRPr="00654B68">
              <w:t>$499,240</w:t>
            </w:r>
          </w:p>
        </w:tc>
        <w:tc>
          <w:tcPr>
            <w:tcW w:w="1563" w:type="dxa"/>
          </w:tcPr>
          <w:p w:rsidR="00A34BA0" w:rsidRPr="00654B68" w:rsidRDefault="00A34BA0" w:rsidP="00B37949">
            <w:pPr>
              <w:jc w:val="center"/>
            </w:pPr>
            <w:r w:rsidRPr="00654B68">
              <w:t>$9,182,244</w:t>
            </w:r>
          </w:p>
        </w:tc>
        <w:tc>
          <w:tcPr>
            <w:tcW w:w="2183" w:type="dxa"/>
          </w:tcPr>
          <w:p w:rsidR="00A34BA0" w:rsidRPr="00654B68" w:rsidRDefault="00A34BA0" w:rsidP="00B37949">
            <w:pPr>
              <w:jc w:val="center"/>
            </w:pPr>
            <w:r w:rsidRPr="00654B68">
              <w:t>$109,312</w:t>
            </w:r>
          </w:p>
        </w:tc>
      </w:tr>
      <w:tr w:rsidR="00A34BA0" w:rsidRPr="00654B68" w:rsidTr="002A6DA4">
        <w:trPr>
          <w:trHeight w:val="410"/>
        </w:trPr>
        <w:tc>
          <w:tcPr>
            <w:tcW w:w="3615" w:type="dxa"/>
          </w:tcPr>
          <w:p w:rsidR="00A34BA0" w:rsidRPr="00654B68" w:rsidRDefault="00A34BA0" w:rsidP="00B37949">
            <w:r w:rsidRPr="00654B68">
              <w:t>Regional Centres</w:t>
            </w:r>
          </w:p>
        </w:tc>
        <w:tc>
          <w:tcPr>
            <w:tcW w:w="1895" w:type="dxa"/>
          </w:tcPr>
          <w:p w:rsidR="00A34BA0" w:rsidRPr="00654B68" w:rsidRDefault="00A34BA0" w:rsidP="00446B7F">
            <w:pPr>
              <w:jc w:val="center"/>
            </w:pPr>
            <w:r w:rsidRPr="00654B68">
              <w:t>16</w:t>
            </w:r>
          </w:p>
        </w:tc>
        <w:tc>
          <w:tcPr>
            <w:tcW w:w="2757" w:type="dxa"/>
          </w:tcPr>
          <w:p w:rsidR="00A34BA0" w:rsidRPr="00654B68" w:rsidRDefault="00A34BA0" w:rsidP="00B37949">
            <w:r w:rsidRPr="00654B68">
              <w:t>Perth*</w:t>
            </w:r>
          </w:p>
        </w:tc>
        <w:tc>
          <w:tcPr>
            <w:tcW w:w="1848" w:type="dxa"/>
          </w:tcPr>
          <w:p w:rsidR="00A34BA0" w:rsidRPr="00654B68" w:rsidRDefault="00A34BA0" w:rsidP="00BF60D5">
            <w:pPr>
              <w:jc w:val="center"/>
            </w:pPr>
            <w:r w:rsidRPr="00654B68">
              <w:t>$943,061</w:t>
            </w:r>
          </w:p>
        </w:tc>
        <w:tc>
          <w:tcPr>
            <w:tcW w:w="1563" w:type="dxa"/>
          </w:tcPr>
          <w:p w:rsidR="00A34BA0" w:rsidRPr="00654B68" w:rsidRDefault="00A34BA0" w:rsidP="00B37949">
            <w:pPr>
              <w:jc w:val="center"/>
            </w:pPr>
            <w:r w:rsidRPr="00654B68">
              <w:t>$6,558,746</w:t>
            </w:r>
          </w:p>
        </w:tc>
        <w:tc>
          <w:tcPr>
            <w:tcW w:w="2183" w:type="dxa"/>
          </w:tcPr>
          <w:p w:rsidR="00A34BA0" w:rsidRPr="00654B68" w:rsidRDefault="00A34BA0" w:rsidP="00B37949">
            <w:pPr>
              <w:jc w:val="center"/>
            </w:pPr>
            <w:r w:rsidRPr="00654B68">
              <w:t>$409,922</w:t>
            </w:r>
          </w:p>
        </w:tc>
      </w:tr>
      <w:tr w:rsidR="00A34BA0" w:rsidRPr="00654B68" w:rsidTr="002A6DA4">
        <w:trPr>
          <w:trHeight w:val="410"/>
        </w:trPr>
        <w:tc>
          <w:tcPr>
            <w:tcW w:w="3615" w:type="dxa"/>
          </w:tcPr>
          <w:p w:rsidR="00A34BA0" w:rsidRPr="00654B68" w:rsidRDefault="00A34BA0" w:rsidP="00B37949">
            <w:r w:rsidRPr="00654B68">
              <w:t>Terrain</w:t>
            </w:r>
          </w:p>
        </w:tc>
        <w:tc>
          <w:tcPr>
            <w:tcW w:w="1895" w:type="dxa"/>
          </w:tcPr>
          <w:p w:rsidR="00A34BA0" w:rsidRPr="00654B68" w:rsidRDefault="00A34BA0" w:rsidP="00446B7F">
            <w:pPr>
              <w:jc w:val="center"/>
            </w:pPr>
            <w:r w:rsidRPr="00654B68">
              <w:t>93</w:t>
            </w:r>
          </w:p>
        </w:tc>
        <w:tc>
          <w:tcPr>
            <w:tcW w:w="2757" w:type="dxa"/>
          </w:tcPr>
          <w:p w:rsidR="00A34BA0" w:rsidRPr="00654B68" w:rsidRDefault="00A34BA0" w:rsidP="00B37949">
            <w:r w:rsidRPr="00654B68">
              <w:t>Swan*</w:t>
            </w:r>
          </w:p>
        </w:tc>
        <w:tc>
          <w:tcPr>
            <w:tcW w:w="1848" w:type="dxa"/>
          </w:tcPr>
          <w:p w:rsidR="00A34BA0" w:rsidRPr="00654B68" w:rsidRDefault="00A34BA0" w:rsidP="00BF60D5">
            <w:pPr>
              <w:jc w:val="center"/>
            </w:pPr>
            <w:r w:rsidRPr="00654B68">
              <w:t>$826,203</w:t>
            </w:r>
          </w:p>
        </w:tc>
        <w:tc>
          <w:tcPr>
            <w:tcW w:w="1563" w:type="dxa"/>
          </w:tcPr>
          <w:p w:rsidR="00A34BA0" w:rsidRPr="00654B68" w:rsidRDefault="00A34BA0" w:rsidP="00B37949">
            <w:pPr>
              <w:jc w:val="center"/>
            </w:pPr>
            <w:r w:rsidRPr="00654B68">
              <w:t>$6,558,746</w:t>
            </w:r>
          </w:p>
        </w:tc>
        <w:tc>
          <w:tcPr>
            <w:tcW w:w="2183" w:type="dxa"/>
          </w:tcPr>
          <w:p w:rsidR="00A34BA0" w:rsidRPr="00654B68" w:rsidRDefault="00A34BA0" w:rsidP="00B37949">
            <w:pPr>
              <w:jc w:val="center"/>
            </w:pPr>
            <w:r w:rsidRPr="00654B68">
              <w:t>$70,524</w:t>
            </w:r>
          </w:p>
        </w:tc>
      </w:tr>
      <w:tr w:rsidR="00A34BA0" w:rsidRPr="00654B68" w:rsidTr="002A6DA4">
        <w:trPr>
          <w:trHeight w:val="387"/>
        </w:trPr>
        <w:tc>
          <w:tcPr>
            <w:tcW w:w="3615" w:type="dxa"/>
          </w:tcPr>
          <w:p w:rsidR="00A34BA0" w:rsidRPr="00654B68" w:rsidRDefault="00A34BA0" w:rsidP="00B37949">
            <w:r w:rsidRPr="00654B68">
              <w:t>Off Road Drainage</w:t>
            </w:r>
          </w:p>
        </w:tc>
        <w:tc>
          <w:tcPr>
            <w:tcW w:w="1895" w:type="dxa"/>
          </w:tcPr>
          <w:p w:rsidR="00A34BA0" w:rsidRPr="00654B68" w:rsidRDefault="00A34BA0" w:rsidP="00446B7F">
            <w:pPr>
              <w:jc w:val="center"/>
            </w:pPr>
            <w:r w:rsidRPr="00654B68">
              <w:t>127</w:t>
            </w:r>
          </w:p>
        </w:tc>
        <w:tc>
          <w:tcPr>
            <w:tcW w:w="2757" w:type="dxa"/>
          </w:tcPr>
          <w:p w:rsidR="00A34BA0" w:rsidRPr="00654B68" w:rsidRDefault="00A34BA0" w:rsidP="00B37949">
            <w:r w:rsidRPr="00654B68">
              <w:t>Joondalup*</w:t>
            </w:r>
          </w:p>
        </w:tc>
        <w:tc>
          <w:tcPr>
            <w:tcW w:w="1848" w:type="dxa"/>
          </w:tcPr>
          <w:p w:rsidR="00A34BA0" w:rsidRPr="00654B68" w:rsidRDefault="00A34BA0" w:rsidP="00B37949">
            <w:pPr>
              <w:jc w:val="center"/>
            </w:pPr>
            <w:r w:rsidRPr="00654B68">
              <w:t>$409,338</w:t>
            </w:r>
          </w:p>
        </w:tc>
        <w:tc>
          <w:tcPr>
            <w:tcW w:w="1563" w:type="dxa"/>
          </w:tcPr>
          <w:p w:rsidR="00A34BA0" w:rsidRPr="00654B68" w:rsidRDefault="00A34BA0" w:rsidP="00B37949">
            <w:pPr>
              <w:jc w:val="center"/>
            </w:pPr>
            <w:r w:rsidRPr="00654B68">
              <w:t>$5,851,216</w:t>
            </w:r>
          </w:p>
        </w:tc>
        <w:tc>
          <w:tcPr>
            <w:tcW w:w="2183" w:type="dxa"/>
          </w:tcPr>
          <w:p w:rsidR="00A34BA0" w:rsidRPr="00654B68" w:rsidRDefault="00A34BA0" w:rsidP="00B37949">
            <w:pPr>
              <w:jc w:val="center"/>
            </w:pPr>
            <w:r w:rsidRPr="00654B68">
              <w:t>$46,073</w:t>
            </w:r>
          </w:p>
        </w:tc>
      </w:tr>
      <w:tr w:rsidR="00A34BA0" w:rsidRPr="00654B68" w:rsidTr="002A6DA4">
        <w:trPr>
          <w:trHeight w:val="410"/>
        </w:trPr>
        <w:tc>
          <w:tcPr>
            <w:tcW w:w="3615" w:type="dxa"/>
          </w:tcPr>
          <w:p w:rsidR="00A34BA0" w:rsidRPr="00654B68" w:rsidRDefault="00A34BA0" w:rsidP="00B37949">
            <w:r w:rsidRPr="00654B68">
              <w:t>Medical Facilities</w:t>
            </w:r>
          </w:p>
        </w:tc>
        <w:tc>
          <w:tcPr>
            <w:tcW w:w="1895" w:type="dxa"/>
          </w:tcPr>
          <w:p w:rsidR="00A34BA0" w:rsidRPr="00654B68" w:rsidRDefault="00A34BA0" w:rsidP="00446B7F">
            <w:pPr>
              <w:jc w:val="center"/>
            </w:pPr>
            <w:r w:rsidRPr="00654B68">
              <w:t>61</w:t>
            </w:r>
          </w:p>
        </w:tc>
        <w:tc>
          <w:tcPr>
            <w:tcW w:w="2757" w:type="dxa"/>
          </w:tcPr>
          <w:p w:rsidR="00A34BA0" w:rsidRPr="00654B68" w:rsidRDefault="00A34BA0" w:rsidP="00B37949">
            <w:r w:rsidRPr="00654B68">
              <w:t>Boyup Brook, 9 others</w:t>
            </w:r>
          </w:p>
        </w:tc>
        <w:tc>
          <w:tcPr>
            <w:tcW w:w="1848" w:type="dxa"/>
          </w:tcPr>
          <w:p w:rsidR="00A34BA0" w:rsidRPr="00654B68" w:rsidRDefault="00A34BA0" w:rsidP="00B37949">
            <w:pPr>
              <w:jc w:val="center"/>
            </w:pPr>
            <w:r w:rsidRPr="00654B68">
              <w:t>$75,000</w:t>
            </w:r>
          </w:p>
        </w:tc>
        <w:tc>
          <w:tcPr>
            <w:tcW w:w="1563" w:type="dxa"/>
          </w:tcPr>
          <w:p w:rsidR="00A34BA0" w:rsidRPr="00654B68" w:rsidRDefault="00A34BA0" w:rsidP="00B37949">
            <w:pPr>
              <w:jc w:val="center"/>
            </w:pPr>
            <w:r w:rsidRPr="00654B68">
              <w:t>$2,000,000</w:t>
            </w:r>
          </w:p>
        </w:tc>
        <w:tc>
          <w:tcPr>
            <w:tcW w:w="2183" w:type="dxa"/>
          </w:tcPr>
          <w:p w:rsidR="00A34BA0" w:rsidRPr="00654B68" w:rsidRDefault="00A34BA0" w:rsidP="00B37949">
            <w:pPr>
              <w:jc w:val="center"/>
            </w:pPr>
            <w:r w:rsidRPr="00654B68">
              <w:t>$32,787</w:t>
            </w:r>
          </w:p>
        </w:tc>
      </w:tr>
      <w:tr w:rsidR="00A34BA0" w:rsidRPr="00654B68" w:rsidTr="002A6DA4">
        <w:trPr>
          <w:trHeight w:val="410"/>
        </w:trPr>
        <w:tc>
          <w:tcPr>
            <w:tcW w:w="3615" w:type="dxa"/>
          </w:tcPr>
          <w:p w:rsidR="00A34BA0" w:rsidRPr="00654B68" w:rsidRDefault="00A34BA0" w:rsidP="00B37949">
            <w:r w:rsidRPr="00654B68">
              <w:t>Cyclones</w:t>
            </w:r>
          </w:p>
        </w:tc>
        <w:tc>
          <w:tcPr>
            <w:tcW w:w="1895" w:type="dxa"/>
          </w:tcPr>
          <w:p w:rsidR="00A34BA0" w:rsidRPr="00654B68" w:rsidRDefault="00A34BA0" w:rsidP="00446B7F">
            <w:pPr>
              <w:jc w:val="center"/>
            </w:pPr>
            <w:r w:rsidRPr="00654B68">
              <w:t>11</w:t>
            </w:r>
          </w:p>
        </w:tc>
        <w:tc>
          <w:tcPr>
            <w:tcW w:w="2757" w:type="dxa"/>
          </w:tcPr>
          <w:p w:rsidR="00A34BA0" w:rsidRPr="00654B68" w:rsidRDefault="00A34BA0" w:rsidP="00B37949">
            <w:r w:rsidRPr="00654B68">
              <w:t>Karratha</w:t>
            </w:r>
          </w:p>
        </w:tc>
        <w:tc>
          <w:tcPr>
            <w:tcW w:w="1848" w:type="dxa"/>
          </w:tcPr>
          <w:p w:rsidR="00A34BA0" w:rsidRPr="00654B68" w:rsidRDefault="00A34BA0" w:rsidP="00B37949">
            <w:pPr>
              <w:jc w:val="center"/>
            </w:pPr>
            <w:r w:rsidRPr="00654B68">
              <w:t>$191,292</w:t>
            </w:r>
          </w:p>
        </w:tc>
        <w:tc>
          <w:tcPr>
            <w:tcW w:w="1563" w:type="dxa"/>
          </w:tcPr>
          <w:p w:rsidR="00A34BA0" w:rsidRPr="00654B68" w:rsidRDefault="00A34BA0" w:rsidP="00B37949">
            <w:pPr>
              <w:jc w:val="center"/>
            </w:pPr>
            <w:r w:rsidRPr="00654B68">
              <w:t>$1,311,749</w:t>
            </w:r>
          </w:p>
        </w:tc>
        <w:tc>
          <w:tcPr>
            <w:tcW w:w="2183" w:type="dxa"/>
          </w:tcPr>
          <w:p w:rsidR="00A34BA0" w:rsidRPr="00654B68" w:rsidRDefault="00A34BA0" w:rsidP="00B37949">
            <w:pPr>
              <w:jc w:val="center"/>
            </w:pPr>
            <w:r w:rsidRPr="00654B68">
              <w:t>$119,250</w:t>
            </w:r>
          </w:p>
        </w:tc>
      </w:tr>
      <w:tr w:rsidR="00A34BA0" w:rsidRPr="00654B68" w:rsidTr="002A6DA4">
        <w:trPr>
          <w:trHeight w:val="387"/>
        </w:trPr>
        <w:tc>
          <w:tcPr>
            <w:tcW w:w="3615" w:type="dxa"/>
          </w:tcPr>
          <w:p w:rsidR="00A34BA0" w:rsidRPr="00654B68" w:rsidRDefault="00A34BA0" w:rsidP="00B37949">
            <w:r w:rsidRPr="00654B68">
              <w:t>Special Needs</w:t>
            </w:r>
          </w:p>
        </w:tc>
        <w:tc>
          <w:tcPr>
            <w:tcW w:w="1895" w:type="dxa"/>
          </w:tcPr>
          <w:p w:rsidR="00A34BA0" w:rsidRPr="00654B68" w:rsidRDefault="00A34BA0" w:rsidP="00446B7F">
            <w:pPr>
              <w:jc w:val="center"/>
            </w:pPr>
            <w:r w:rsidRPr="00654B68">
              <w:t>2</w:t>
            </w:r>
          </w:p>
        </w:tc>
        <w:tc>
          <w:tcPr>
            <w:tcW w:w="2757" w:type="dxa"/>
          </w:tcPr>
          <w:p w:rsidR="00A34BA0" w:rsidRPr="00654B68" w:rsidRDefault="00A34BA0" w:rsidP="00B37949">
            <w:r w:rsidRPr="00654B68">
              <w:t>Gingin</w:t>
            </w:r>
          </w:p>
        </w:tc>
        <w:tc>
          <w:tcPr>
            <w:tcW w:w="1848" w:type="dxa"/>
          </w:tcPr>
          <w:p w:rsidR="00A34BA0" w:rsidRPr="00654B68" w:rsidRDefault="00A34BA0" w:rsidP="00B37949">
            <w:pPr>
              <w:jc w:val="center"/>
            </w:pPr>
            <w:r w:rsidRPr="00654B68">
              <w:t>$70,000</w:t>
            </w:r>
          </w:p>
        </w:tc>
        <w:tc>
          <w:tcPr>
            <w:tcW w:w="1563" w:type="dxa"/>
          </w:tcPr>
          <w:p w:rsidR="00A34BA0" w:rsidRPr="00654B68" w:rsidRDefault="00A34BA0" w:rsidP="00B37949">
            <w:pPr>
              <w:jc w:val="center"/>
            </w:pPr>
            <w:r w:rsidRPr="00654B68">
              <w:t>$110,000</w:t>
            </w:r>
          </w:p>
        </w:tc>
        <w:tc>
          <w:tcPr>
            <w:tcW w:w="2183" w:type="dxa"/>
          </w:tcPr>
          <w:p w:rsidR="00A34BA0" w:rsidRPr="00654B68" w:rsidRDefault="00A34BA0" w:rsidP="00B37949">
            <w:pPr>
              <w:jc w:val="center"/>
            </w:pPr>
            <w:r w:rsidRPr="00654B68">
              <w:t>$55,000</w:t>
            </w:r>
          </w:p>
        </w:tc>
      </w:tr>
    </w:tbl>
    <w:p w:rsidR="00E9277E" w:rsidRPr="00654B68" w:rsidRDefault="00654B68" w:rsidP="00E9277E">
      <w:r>
        <w:t>*</w:t>
      </w:r>
      <w:r w:rsidR="00E9277E" w:rsidRPr="00654B68">
        <w:t xml:space="preserve">minimum grant local government </w:t>
      </w:r>
    </w:p>
    <w:p w:rsidR="00CF60CB" w:rsidRDefault="00CF60CB" w:rsidP="00E9277E">
      <w:pPr>
        <w:sectPr w:rsidR="00CF60CB" w:rsidSect="00CF60CB">
          <w:pgSz w:w="16838" w:h="11906" w:orient="landscape"/>
          <w:pgMar w:top="1418" w:right="1418" w:bottom="1418" w:left="1134" w:header="709" w:footer="709" w:gutter="0"/>
          <w:cols w:space="69"/>
          <w:docGrid w:linePitch="360"/>
        </w:sectPr>
      </w:pPr>
    </w:p>
    <w:p w:rsidR="009C0FF5" w:rsidRDefault="009C0FF5" w:rsidP="003120D7">
      <w:pPr>
        <w:pStyle w:val="Heading2"/>
        <w:spacing w:before="240"/>
      </w:pPr>
      <w:bookmarkStart w:id="55" w:name="_Toc434918434"/>
      <w:r>
        <w:lastRenderedPageBreak/>
        <w:t xml:space="preserve">Minimum </w:t>
      </w:r>
      <w:r w:rsidR="00AC19FC">
        <w:t>g</w:t>
      </w:r>
      <w:r>
        <w:t xml:space="preserve">rant </w:t>
      </w:r>
      <w:r w:rsidR="00AC19FC">
        <w:t>local g</w:t>
      </w:r>
      <w:r>
        <w:t>overnments</w:t>
      </w:r>
      <w:bookmarkEnd w:id="52"/>
      <w:bookmarkEnd w:id="53"/>
      <w:bookmarkEnd w:id="54"/>
      <w:bookmarkEnd w:id="55"/>
    </w:p>
    <w:p w:rsidR="009C0FF5" w:rsidRDefault="009C0FF5" w:rsidP="009C0FF5">
      <w:pPr>
        <w:pStyle w:val="BodyText"/>
      </w:pPr>
      <w:r w:rsidRPr="00687811">
        <w:t>In 201</w:t>
      </w:r>
      <w:r w:rsidR="00C650D6">
        <w:t>5</w:t>
      </w:r>
      <w:r w:rsidRPr="00687811">
        <w:t>-1</w:t>
      </w:r>
      <w:r w:rsidR="00C650D6">
        <w:t>6</w:t>
      </w:r>
      <w:r w:rsidRPr="00687811">
        <w:t>, 31 local</w:t>
      </w:r>
      <w:r>
        <w:t xml:space="preserve"> governments received the </w:t>
      </w:r>
      <w:r w:rsidR="00AC19FC">
        <w:t>m</w:t>
      </w:r>
      <w:r>
        <w:t xml:space="preserve">inimum </w:t>
      </w:r>
      <w:r w:rsidR="00AC19FC">
        <w:t>g</w:t>
      </w:r>
      <w:r>
        <w:t xml:space="preserve">rant entitlement which </w:t>
      </w:r>
      <w:r w:rsidRPr="00687811">
        <w:t>equated to $20.</w:t>
      </w:r>
      <w:r w:rsidR="008B2B8F">
        <w:t>26</w:t>
      </w:r>
      <w:r w:rsidRPr="00687811">
        <w:t xml:space="preserve"> per</w:t>
      </w:r>
      <w:r>
        <w:t xml:space="preserve"> capita.</w:t>
      </w:r>
      <w:r w:rsidR="008B2B8F">
        <w:t xml:space="preserve"> This was a reduction from 2014-15 when local governments received $20.65. </w:t>
      </w:r>
      <w:r w:rsidR="003945CC">
        <w:t>The reduction is a result of the pop</w:t>
      </w:r>
      <w:r w:rsidR="000054B6">
        <w:t xml:space="preserve">ulation of the </w:t>
      </w:r>
      <w:r w:rsidR="00AC19FC">
        <w:t>s</w:t>
      </w:r>
      <w:r w:rsidR="000054B6">
        <w:t>tate increasing</w:t>
      </w:r>
      <w:r w:rsidR="003945CC">
        <w:t xml:space="preserve"> whilst the total pool available for distribution to the </w:t>
      </w:r>
      <w:r w:rsidR="00AC19FC">
        <w:t>s</w:t>
      </w:r>
      <w:r w:rsidR="003945CC">
        <w:t xml:space="preserve">tates in Financial Assistance Grants is paused. </w:t>
      </w:r>
      <w:r>
        <w:t xml:space="preserve">Collectively, the local governments receiving the </w:t>
      </w:r>
      <w:r w:rsidR="00AC19FC">
        <w:t>minimum g</w:t>
      </w:r>
      <w:r>
        <w:t xml:space="preserve">rant accounted for </w:t>
      </w:r>
      <w:r w:rsidRPr="00687811">
        <w:t>$39.</w:t>
      </w:r>
      <w:r w:rsidR="008B2B8F">
        <w:t>480</w:t>
      </w:r>
      <w:r w:rsidRPr="00687811">
        <w:t xml:space="preserve"> million (22.</w:t>
      </w:r>
      <w:r w:rsidR="008B2B8F">
        <w:t>7</w:t>
      </w:r>
      <w:r w:rsidRPr="00687811">
        <w:t>%)</w:t>
      </w:r>
      <w:r w:rsidR="00AC19FC">
        <w:t xml:space="preserve"> of the total g</w:t>
      </w:r>
      <w:r>
        <w:t xml:space="preserve">eneral </w:t>
      </w:r>
      <w:r w:rsidR="00AC19FC">
        <w:t>p</w:t>
      </w:r>
      <w:r>
        <w:t xml:space="preserve">urpose funding pool while containing </w:t>
      </w:r>
      <w:r w:rsidRPr="00687811">
        <w:t>75.</w:t>
      </w:r>
      <w:r w:rsidR="008B2B8F">
        <w:t>7</w:t>
      </w:r>
      <w:r>
        <w:t>% of the State’s population.</w:t>
      </w:r>
    </w:p>
    <w:p w:rsidR="009C0FF5" w:rsidRDefault="009C0FF5" w:rsidP="00654B68">
      <w:pPr>
        <w:pStyle w:val="Heading3"/>
        <w:rPr>
          <w:color w:val="3C3C3C"/>
        </w:rPr>
      </w:pPr>
      <w:r w:rsidRPr="000C4373">
        <w:t>2014-15 Minimum Grant Local Governments</w:t>
      </w:r>
      <w:r w:rsidR="007A24A6" w:rsidRPr="000C4373">
        <w:t>:</w:t>
      </w:r>
    </w:p>
    <w:p w:rsidR="00CF60CB" w:rsidRDefault="00CF60CB" w:rsidP="007A24A6">
      <w:pPr>
        <w:pStyle w:val="TOC2"/>
        <w:sectPr w:rsidR="00CF60CB" w:rsidSect="00CF60CB">
          <w:pgSz w:w="11906" w:h="16838"/>
          <w:pgMar w:top="1418" w:right="1418" w:bottom="1134" w:left="1418" w:header="709" w:footer="709" w:gutter="0"/>
          <w:cols w:space="69"/>
          <w:docGrid w:linePitch="360"/>
        </w:sectPr>
      </w:pPr>
    </w:p>
    <w:p w:rsidR="009C0FF5" w:rsidRDefault="009C0FF5" w:rsidP="007A24A6">
      <w:pPr>
        <w:pStyle w:val="TOC2"/>
      </w:pPr>
      <w:r w:rsidRPr="00A10584">
        <w:t>Augusta-Margaret River</w:t>
      </w:r>
    </w:p>
    <w:p w:rsidR="009C0FF5" w:rsidRPr="00A10584" w:rsidRDefault="009C0FF5" w:rsidP="007A24A6">
      <w:pPr>
        <w:pStyle w:val="TOC2"/>
      </w:pPr>
      <w:r w:rsidRPr="00A10584">
        <w:t>Bassendean</w:t>
      </w:r>
    </w:p>
    <w:p w:rsidR="009C0FF5" w:rsidRDefault="009C0FF5" w:rsidP="007A24A6">
      <w:pPr>
        <w:pStyle w:val="TOC2"/>
      </w:pPr>
      <w:r w:rsidRPr="00A10584">
        <w:t>Bayswater</w:t>
      </w:r>
    </w:p>
    <w:p w:rsidR="009C0FF5" w:rsidRPr="00A10584" w:rsidRDefault="009C0FF5" w:rsidP="007A24A6">
      <w:pPr>
        <w:pStyle w:val="TOC2"/>
      </w:pPr>
      <w:r>
        <w:t>Belmont</w:t>
      </w:r>
    </w:p>
    <w:p w:rsidR="009C0FF5" w:rsidRDefault="009C0FF5" w:rsidP="007A24A6">
      <w:pPr>
        <w:pStyle w:val="TOC2"/>
      </w:pPr>
      <w:r w:rsidRPr="00A10584">
        <w:t>Bunbury</w:t>
      </w:r>
    </w:p>
    <w:p w:rsidR="009C0FF5" w:rsidRDefault="009C0FF5" w:rsidP="007A24A6">
      <w:pPr>
        <w:pStyle w:val="TOC2"/>
      </w:pPr>
      <w:r w:rsidRPr="00A10584">
        <w:t>Busselton</w:t>
      </w:r>
    </w:p>
    <w:p w:rsidR="009C0FF5" w:rsidRDefault="009C0FF5" w:rsidP="007A24A6">
      <w:pPr>
        <w:pStyle w:val="TOC2"/>
      </w:pPr>
      <w:r w:rsidRPr="00A10584">
        <w:t>Cambridge</w:t>
      </w:r>
    </w:p>
    <w:p w:rsidR="009C0FF5" w:rsidRDefault="009C0FF5" w:rsidP="007A24A6">
      <w:pPr>
        <w:pStyle w:val="TOC2"/>
      </w:pPr>
      <w:r w:rsidRPr="00A10584">
        <w:t>Canning</w:t>
      </w:r>
    </w:p>
    <w:p w:rsidR="009C0FF5" w:rsidRDefault="009C0FF5" w:rsidP="007A24A6">
      <w:pPr>
        <w:pStyle w:val="TOC2"/>
      </w:pPr>
      <w:r w:rsidRPr="00A10584">
        <w:t>Claremont</w:t>
      </w:r>
    </w:p>
    <w:p w:rsidR="009C0FF5" w:rsidRDefault="009C0FF5" w:rsidP="007A24A6">
      <w:pPr>
        <w:pStyle w:val="TOC2"/>
      </w:pPr>
      <w:r w:rsidRPr="00A10584">
        <w:t>Cockburn</w:t>
      </w:r>
    </w:p>
    <w:p w:rsidR="009C0FF5" w:rsidRDefault="009C0FF5" w:rsidP="007A24A6">
      <w:pPr>
        <w:pStyle w:val="TOC2"/>
      </w:pPr>
      <w:r w:rsidRPr="00A10584">
        <w:t>Cottesloe</w:t>
      </w:r>
      <w:r w:rsidRPr="00377430">
        <w:t xml:space="preserve"> </w:t>
      </w:r>
    </w:p>
    <w:p w:rsidR="009C0FF5" w:rsidRDefault="009C0FF5" w:rsidP="007A24A6">
      <w:pPr>
        <w:pStyle w:val="TOC2"/>
      </w:pPr>
      <w:r w:rsidRPr="00A10584">
        <w:t>East Fremantle</w:t>
      </w:r>
      <w:r w:rsidRPr="00377430">
        <w:t xml:space="preserve"> </w:t>
      </w:r>
    </w:p>
    <w:p w:rsidR="009C0FF5" w:rsidRDefault="009C0FF5" w:rsidP="007A24A6">
      <w:pPr>
        <w:pStyle w:val="TOC2"/>
      </w:pPr>
      <w:r w:rsidRPr="00A10584">
        <w:t>Fremantle</w:t>
      </w:r>
      <w:r w:rsidRPr="00377430">
        <w:t xml:space="preserve"> </w:t>
      </w:r>
    </w:p>
    <w:p w:rsidR="009C0FF5" w:rsidRDefault="009C0FF5" w:rsidP="007A24A6">
      <w:pPr>
        <w:pStyle w:val="TOC2"/>
      </w:pPr>
      <w:r w:rsidRPr="00A10584">
        <w:t>Gosnells</w:t>
      </w:r>
      <w:r w:rsidRPr="00377430">
        <w:t xml:space="preserve"> </w:t>
      </w:r>
    </w:p>
    <w:p w:rsidR="009C0FF5" w:rsidRDefault="009C0FF5" w:rsidP="007A24A6">
      <w:pPr>
        <w:pStyle w:val="TOC2"/>
      </w:pPr>
      <w:r w:rsidRPr="00A10584">
        <w:t>Joondalup</w:t>
      </w:r>
      <w:r w:rsidRPr="00377430">
        <w:t xml:space="preserve"> </w:t>
      </w:r>
    </w:p>
    <w:p w:rsidR="009C0FF5" w:rsidRDefault="009C0FF5" w:rsidP="007A24A6">
      <w:pPr>
        <w:pStyle w:val="TOC2"/>
      </w:pPr>
      <w:r w:rsidRPr="00A10584">
        <w:t>Kalamunda</w:t>
      </w:r>
      <w:r w:rsidRPr="00377430">
        <w:t xml:space="preserve"> </w:t>
      </w:r>
    </w:p>
    <w:p w:rsidR="009C0FF5" w:rsidRDefault="009C0FF5" w:rsidP="007A24A6">
      <w:pPr>
        <w:pStyle w:val="TOC2"/>
      </w:pPr>
      <w:r w:rsidRPr="00A10584">
        <w:t>Kwinana</w:t>
      </w:r>
      <w:r w:rsidRPr="00377430">
        <w:t xml:space="preserve"> </w:t>
      </w:r>
    </w:p>
    <w:p w:rsidR="009C0FF5" w:rsidRDefault="009C0FF5" w:rsidP="007A24A6">
      <w:pPr>
        <w:pStyle w:val="TOC2"/>
      </w:pPr>
      <w:r w:rsidRPr="00A10584">
        <w:t xml:space="preserve">Mandurah </w:t>
      </w:r>
    </w:p>
    <w:p w:rsidR="009C0FF5" w:rsidRDefault="009C0FF5" w:rsidP="007A24A6">
      <w:pPr>
        <w:pStyle w:val="TOC2"/>
      </w:pPr>
      <w:r w:rsidRPr="00A10584">
        <w:t xml:space="preserve">Melville </w:t>
      </w:r>
    </w:p>
    <w:p w:rsidR="009C0FF5" w:rsidRDefault="009C0FF5" w:rsidP="007A24A6">
      <w:pPr>
        <w:pStyle w:val="TOC2"/>
      </w:pPr>
      <w:r w:rsidRPr="00A10584">
        <w:t>Mosman Park</w:t>
      </w:r>
      <w:r w:rsidRPr="00377430">
        <w:t xml:space="preserve"> </w:t>
      </w:r>
    </w:p>
    <w:p w:rsidR="009C0FF5" w:rsidRDefault="009C0FF5" w:rsidP="007A24A6">
      <w:pPr>
        <w:pStyle w:val="TOC2"/>
      </w:pPr>
      <w:r w:rsidRPr="00A10584">
        <w:t>Nedlands</w:t>
      </w:r>
      <w:r w:rsidRPr="00377430">
        <w:t xml:space="preserve"> </w:t>
      </w:r>
    </w:p>
    <w:p w:rsidR="009C0FF5" w:rsidRDefault="009C0FF5" w:rsidP="007A24A6">
      <w:pPr>
        <w:pStyle w:val="TOC2"/>
      </w:pPr>
      <w:r w:rsidRPr="00A10584">
        <w:t>Peppermint Grov</w:t>
      </w:r>
      <w:r>
        <w:t xml:space="preserve">e </w:t>
      </w:r>
    </w:p>
    <w:p w:rsidR="009C0FF5" w:rsidRDefault="009C0FF5" w:rsidP="007A24A6">
      <w:pPr>
        <w:pStyle w:val="TOC2"/>
      </w:pPr>
      <w:r w:rsidRPr="00A10584">
        <w:t>Perth</w:t>
      </w:r>
      <w:r w:rsidRPr="00377430">
        <w:t xml:space="preserve"> </w:t>
      </w:r>
    </w:p>
    <w:p w:rsidR="009C0FF5" w:rsidRDefault="009C0FF5" w:rsidP="007A24A6">
      <w:pPr>
        <w:pStyle w:val="TOC2"/>
      </w:pPr>
      <w:r w:rsidRPr="00A10584">
        <w:t>Rockingham</w:t>
      </w:r>
      <w:r w:rsidRPr="00377430">
        <w:t xml:space="preserve"> </w:t>
      </w:r>
    </w:p>
    <w:p w:rsidR="009C0FF5" w:rsidRDefault="009C0FF5" w:rsidP="007A24A6">
      <w:pPr>
        <w:pStyle w:val="TOC2"/>
      </w:pPr>
      <w:r w:rsidRPr="00A10584">
        <w:t>South Perth</w:t>
      </w:r>
      <w:r w:rsidRPr="00377430">
        <w:t xml:space="preserve"> </w:t>
      </w:r>
    </w:p>
    <w:p w:rsidR="009C0FF5" w:rsidRDefault="009C0FF5" w:rsidP="007A24A6">
      <w:pPr>
        <w:pStyle w:val="TOC2"/>
      </w:pPr>
      <w:r w:rsidRPr="00A10584">
        <w:t>Stirling</w:t>
      </w:r>
      <w:r w:rsidRPr="00377430">
        <w:t xml:space="preserve"> </w:t>
      </w:r>
    </w:p>
    <w:p w:rsidR="009C0FF5" w:rsidRDefault="00A83BF9" w:rsidP="007A24A6">
      <w:pPr>
        <w:pStyle w:val="TOC2"/>
      </w:pPr>
      <w:r w:rsidRPr="00A10584">
        <w:t>Subiaco</w:t>
      </w:r>
      <w:r w:rsidRPr="00377430">
        <w:rPr>
          <w:spacing w:val="-3"/>
        </w:rPr>
        <w:t xml:space="preserve"> </w:t>
      </w:r>
    </w:p>
    <w:p w:rsidR="009C0FF5" w:rsidRDefault="00A83BF9" w:rsidP="007A24A6">
      <w:pPr>
        <w:pStyle w:val="TOC2"/>
        <w:rPr>
          <w:spacing w:val="-3"/>
        </w:rPr>
      </w:pPr>
      <w:r w:rsidRPr="00A10584">
        <w:t>Swan</w:t>
      </w:r>
    </w:p>
    <w:p w:rsidR="009C0FF5" w:rsidRDefault="009C0FF5" w:rsidP="007A24A6">
      <w:pPr>
        <w:pStyle w:val="TOC2"/>
        <w:rPr>
          <w:spacing w:val="-3"/>
        </w:rPr>
      </w:pPr>
      <w:r w:rsidRPr="00A10584">
        <w:rPr>
          <w:spacing w:val="-3"/>
        </w:rPr>
        <w:t>V</w:t>
      </w:r>
      <w:r w:rsidRPr="00A10584">
        <w:t>ictoria Park</w:t>
      </w:r>
      <w:r w:rsidRPr="00377430">
        <w:rPr>
          <w:spacing w:val="-3"/>
        </w:rPr>
        <w:t xml:space="preserve"> </w:t>
      </w:r>
    </w:p>
    <w:p w:rsidR="009C0FF5" w:rsidRDefault="009C0FF5" w:rsidP="007A24A6">
      <w:pPr>
        <w:pStyle w:val="TOC2"/>
      </w:pPr>
      <w:r w:rsidRPr="00A10584">
        <w:rPr>
          <w:spacing w:val="-3"/>
        </w:rPr>
        <w:t>V</w:t>
      </w:r>
      <w:r w:rsidRPr="00A10584">
        <w:t>incent</w:t>
      </w:r>
    </w:p>
    <w:p w:rsidR="009755FE" w:rsidRDefault="009C0FF5" w:rsidP="007A24A6">
      <w:pPr>
        <w:pStyle w:val="TOC2"/>
      </w:pPr>
      <w:r w:rsidRPr="009755FE">
        <w:t>Wanneroo</w:t>
      </w:r>
    </w:p>
    <w:p w:rsidR="009C0FF5" w:rsidRDefault="009C0FF5" w:rsidP="004A64EB">
      <w:pPr>
        <w:pStyle w:val="TOC2"/>
        <w:numPr>
          <w:ilvl w:val="0"/>
          <w:numId w:val="0"/>
        </w:numPr>
        <w:ind w:left="720"/>
      </w:pPr>
    </w:p>
    <w:p w:rsidR="00CF60CB" w:rsidRPr="00CF60CB" w:rsidRDefault="00CF60CB" w:rsidP="00CF60CB">
      <w:pPr>
        <w:sectPr w:rsidR="00CF60CB" w:rsidRPr="00CF60CB" w:rsidSect="00CF60CB">
          <w:type w:val="continuous"/>
          <w:pgSz w:w="11906" w:h="16838"/>
          <w:pgMar w:top="1418" w:right="1418" w:bottom="1134" w:left="1418" w:header="709" w:footer="709" w:gutter="0"/>
          <w:cols w:num="2" w:space="69"/>
          <w:docGrid w:linePitch="360"/>
        </w:sectPr>
      </w:pPr>
    </w:p>
    <w:p w:rsidR="00E9277E" w:rsidRPr="000054B6" w:rsidRDefault="00E9277E" w:rsidP="000054B6">
      <w:pPr>
        <w:pStyle w:val="Heading2"/>
      </w:pPr>
      <w:bookmarkStart w:id="56" w:name="_Toc434918435"/>
      <w:r w:rsidRPr="000054B6">
        <w:t>Amalgamation Policy</w:t>
      </w:r>
      <w:bookmarkEnd w:id="56"/>
    </w:p>
    <w:p w:rsidR="009D2863" w:rsidRPr="007E15FB" w:rsidRDefault="00E9277E" w:rsidP="009C0FF5">
      <w:pPr>
        <w:pStyle w:val="BodyText"/>
      </w:pPr>
      <w:r w:rsidRPr="007E15FB">
        <w:t xml:space="preserve">The Commission has a policy whereby </w:t>
      </w:r>
      <w:r w:rsidR="007C312E" w:rsidRPr="007E15FB">
        <w:t xml:space="preserve">for a </w:t>
      </w:r>
      <w:r w:rsidR="00AC19FC">
        <w:t>five</w:t>
      </w:r>
      <w:r w:rsidR="007C312E" w:rsidRPr="007E15FB">
        <w:t xml:space="preserve"> year period </w:t>
      </w:r>
      <w:r w:rsidRPr="007E15FB">
        <w:t xml:space="preserve">it </w:t>
      </w:r>
      <w:r w:rsidR="009D2863" w:rsidRPr="007E15FB">
        <w:t xml:space="preserve">will </w:t>
      </w:r>
      <w:r w:rsidR="007C312E" w:rsidRPr="007E15FB">
        <w:t>provide</w:t>
      </w:r>
      <w:r w:rsidR="009D2863" w:rsidRPr="007E15FB">
        <w:t xml:space="preserve"> amalgamating local governments the higher of the amalgamating local governments individual general purpose gr</w:t>
      </w:r>
      <w:r w:rsidR="00AC19FC">
        <w:t>ants combined and pegged at pre-</w:t>
      </w:r>
      <w:r w:rsidR="009D2863" w:rsidRPr="007E15FB">
        <w:t>amalgamation levels or the new equalisation of the new entity.</w:t>
      </w:r>
    </w:p>
    <w:p w:rsidR="009D2863" w:rsidRDefault="009D2863" w:rsidP="009C0FF5">
      <w:pPr>
        <w:pStyle w:val="BodyText"/>
      </w:pPr>
      <w:r w:rsidRPr="007E15FB">
        <w:lastRenderedPageBreak/>
        <w:t>The City of Greater-Geraldton experienced the final year of</w:t>
      </w:r>
      <w:r w:rsidR="005F12B5">
        <w:t xml:space="preserve"> grant maintenance under</w:t>
      </w:r>
      <w:r w:rsidRPr="007E15FB">
        <w:t xml:space="preserve"> the Amalgamation Policy for 2015</w:t>
      </w:r>
      <w:r w:rsidR="00AC19FC">
        <w:t>-</w:t>
      </w:r>
      <w:r w:rsidRPr="007E15FB">
        <w:t xml:space="preserve">16 </w:t>
      </w:r>
      <w:r w:rsidR="00AC19FC">
        <w:t>grant determinations. From 2016-</w:t>
      </w:r>
      <w:r w:rsidRPr="007E15FB">
        <w:t xml:space="preserve">17 the </w:t>
      </w:r>
      <w:r w:rsidR="00827AEC" w:rsidRPr="007E15FB">
        <w:t>City</w:t>
      </w:r>
      <w:r w:rsidR="00827AEC">
        <w:t xml:space="preserve">’s </w:t>
      </w:r>
      <w:r w:rsidR="00827AEC" w:rsidRPr="007E15FB">
        <w:t>equalisation</w:t>
      </w:r>
      <w:r w:rsidR="002C661C">
        <w:t xml:space="preserve"> will be determined on the same basis as other local governments</w:t>
      </w:r>
      <w:r w:rsidRPr="007E15FB">
        <w:t>.</w:t>
      </w:r>
    </w:p>
    <w:p w:rsidR="007E15FB" w:rsidRPr="007E15FB" w:rsidRDefault="007E15FB" w:rsidP="009C0FF5">
      <w:pPr>
        <w:pStyle w:val="BodyText"/>
        <w:sectPr w:rsidR="007E15FB" w:rsidRPr="007E15FB" w:rsidSect="003120D7">
          <w:type w:val="continuous"/>
          <w:pgSz w:w="11906" w:h="16838"/>
          <w:pgMar w:top="1418" w:right="1418" w:bottom="1134" w:left="1418" w:header="709" w:footer="709" w:gutter="0"/>
          <w:cols w:space="69"/>
          <w:docGrid w:linePitch="360"/>
        </w:sectPr>
      </w:pPr>
      <w:r>
        <w:t xml:space="preserve">In 2014-15 the Commission agreed it would </w:t>
      </w:r>
      <w:r w:rsidR="005F12B5">
        <w:t xml:space="preserve">also </w:t>
      </w:r>
      <w:r>
        <w:t xml:space="preserve">apply the </w:t>
      </w:r>
      <w:r w:rsidR="00AC19FC">
        <w:t>a</w:t>
      </w:r>
      <w:r>
        <w:t xml:space="preserve">malgamation </w:t>
      </w:r>
      <w:r w:rsidR="00AC19FC">
        <w:t>p</w:t>
      </w:r>
      <w:r>
        <w:t xml:space="preserve">olicy to </w:t>
      </w:r>
      <w:r w:rsidR="005F12B5">
        <w:t>situations</w:t>
      </w:r>
      <w:r>
        <w:t xml:space="preserve"> where one local government was fully joined with another through </w:t>
      </w:r>
      <w:r w:rsidR="000F4D6F">
        <w:t>boundary amendment.</w:t>
      </w:r>
    </w:p>
    <w:p w:rsidR="009C0FF5" w:rsidRDefault="009C0FF5" w:rsidP="009C0FF5">
      <w:pPr>
        <w:pStyle w:val="Heading2"/>
      </w:pPr>
      <w:bookmarkStart w:id="57" w:name="_Toc371434438"/>
      <w:bookmarkStart w:id="58" w:name="_Toc410647361"/>
      <w:bookmarkStart w:id="59" w:name="_Toc412713566"/>
      <w:bookmarkStart w:id="60" w:name="_Toc434918436"/>
      <w:r w:rsidRPr="002519E6">
        <w:t>Grants Determination Process</w:t>
      </w:r>
      <w:bookmarkEnd w:id="57"/>
      <w:bookmarkEnd w:id="58"/>
      <w:bookmarkEnd w:id="59"/>
      <w:bookmarkEnd w:id="60"/>
    </w:p>
    <w:p w:rsidR="009C0FF5" w:rsidRDefault="009C0FF5" w:rsidP="009C0FF5">
      <w:pPr>
        <w:pStyle w:val="BodyText"/>
      </w:pPr>
      <w:r>
        <w:t>The Commission maintains its administrative processes to provide for timely notification of grants to local governments.</w:t>
      </w:r>
    </w:p>
    <w:p w:rsidR="009C0FF5" w:rsidRPr="00622BC6" w:rsidRDefault="009C0FF5" w:rsidP="009C0FF5">
      <w:pPr>
        <w:pStyle w:val="BodyText"/>
      </w:pPr>
      <w:r w:rsidRPr="0079728D">
        <w:t xml:space="preserve">The </w:t>
      </w:r>
      <w:r w:rsidR="00AC19FC">
        <w:t>WA</w:t>
      </w:r>
      <w:r w:rsidR="0079728D" w:rsidRPr="0079728D">
        <w:t xml:space="preserve"> </w:t>
      </w:r>
      <w:r w:rsidRPr="0079728D">
        <w:t xml:space="preserve">Minister for Local Government approved the </w:t>
      </w:r>
      <w:r w:rsidR="005F12B5">
        <w:t xml:space="preserve">Commission’s </w:t>
      </w:r>
      <w:r w:rsidRPr="0079728D">
        <w:t xml:space="preserve">notional allocation of Financial Assistance Grants </w:t>
      </w:r>
      <w:r w:rsidR="0079728D" w:rsidRPr="0079728D">
        <w:t>o</w:t>
      </w:r>
      <w:r w:rsidRPr="0079728D">
        <w:t xml:space="preserve">n </w:t>
      </w:r>
      <w:r w:rsidR="0079728D" w:rsidRPr="0079728D">
        <w:t xml:space="preserve">27 </w:t>
      </w:r>
      <w:r w:rsidRPr="0079728D">
        <w:t>June 201</w:t>
      </w:r>
      <w:r w:rsidR="00622BC6" w:rsidRPr="0079728D">
        <w:t>5</w:t>
      </w:r>
      <w:r w:rsidRPr="0079728D">
        <w:t>.</w:t>
      </w:r>
      <w:r w:rsidR="001917F0" w:rsidRPr="0079728D">
        <w:t xml:space="preserve"> </w:t>
      </w:r>
      <w:r w:rsidR="0079728D" w:rsidRPr="0079728D">
        <w:t>T</w:t>
      </w:r>
      <w:r w:rsidRPr="00622BC6">
        <w:t xml:space="preserve">he Commonwealth Minister for Local Government approved </w:t>
      </w:r>
      <w:r w:rsidR="00622BC6" w:rsidRPr="00622BC6">
        <w:t>the final grant allocations on 12</w:t>
      </w:r>
      <w:r w:rsidRPr="00622BC6">
        <w:t xml:space="preserve"> August 201</w:t>
      </w:r>
      <w:r w:rsidR="00622BC6" w:rsidRPr="00622BC6">
        <w:t>5</w:t>
      </w:r>
      <w:r w:rsidRPr="00622BC6">
        <w:t>.</w:t>
      </w:r>
      <w:r w:rsidR="00622BC6" w:rsidRPr="00622BC6">
        <w:t xml:space="preserve"> Local governments were notified of their final grant allocations in letters dated 17 August 2015.</w:t>
      </w:r>
    </w:p>
    <w:p w:rsidR="009C0FF5" w:rsidRDefault="009C0FF5" w:rsidP="009C0FF5">
      <w:pPr>
        <w:pStyle w:val="Heading2"/>
      </w:pPr>
      <w:bookmarkStart w:id="61" w:name="_Toc371434439"/>
      <w:bookmarkStart w:id="62" w:name="_Toc410647362"/>
      <w:bookmarkStart w:id="63" w:name="_Toc412713567"/>
      <w:bookmarkStart w:id="64" w:name="_Toc434918437"/>
      <w:r>
        <w:t>Publication of Grant Calculations</w:t>
      </w:r>
      <w:bookmarkEnd w:id="61"/>
      <w:bookmarkEnd w:id="62"/>
      <w:bookmarkEnd w:id="63"/>
      <w:bookmarkEnd w:id="64"/>
    </w:p>
    <w:p w:rsidR="009C0FF5" w:rsidRPr="000B1B44" w:rsidRDefault="009C0FF5" w:rsidP="009C0FF5">
      <w:pPr>
        <w:pStyle w:val="BodyText"/>
      </w:pPr>
      <w:r w:rsidRPr="000B1B44">
        <w:t xml:space="preserve">In keeping with its commitment to transparency and accountability, the Commission made the </w:t>
      </w:r>
      <w:hyperlink r:id="rId22" w:history="1">
        <w:r w:rsidRPr="005F12B5">
          <w:rPr>
            <w:rStyle w:val="Hyperlink"/>
          </w:rPr>
          <w:t>Schedule of Payments</w:t>
        </w:r>
      </w:hyperlink>
      <w:r w:rsidRPr="000B1B44">
        <w:t xml:space="preserve"> </w:t>
      </w:r>
      <w:r>
        <w:t xml:space="preserve">available </w:t>
      </w:r>
      <w:r w:rsidRPr="000B1B44">
        <w:t xml:space="preserve">to local governments, which details each </w:t>
      </w:r>
      <w:r>
        <w:t>of their</w:t>
      </w:r>
      <w:r w:rsidRPr="000B1B44">
        <w:t xml:space="preserve"> grant</w:t>
      </w:r>
      <w:r>
        <w:t>s</w:t>
      </w:r>
      <w:r w:rsidRPr="000B1B44">
        <w:t xml:space="preserve">. </w:t>
      </w:r>
    </w:p>
    <w:p w:rsidR="009C0FF5" w:rsidRDefault="009C0FF5" w:rsidP="009C0FF5">
      <w:pPr>
        <w:pStyle w:val="BodyText"/>
      </w:pPr>
      <w:r w:rsidRPr="000B1B44">
        <w:t>The Schedule of Payments contains all the information relating to each local government’s Financial Assistance Grant</w:t>
      </w:r>
      <w:r w:rsidR="007F37A3">
        <w:t>, including g</w:t>
      </w:r>
      <w:r>
        <w:t xml:space="preserve">eneral </w:t>
      </w:r>
      <w:r w:rsidR="007F37A3">
        <w:t>purpose g</w:t>
      </w:r>
      <w:r>
        <w:t>rant</w:t>
      </w:r>
      <w:r w:rsidR="001C479E">
        <w:t>s</w:t>
      </w:r>
      <w:r>
        <w:t xml:space="preserve">, </w:t>
      </w:r>
      <w:r w:rsidR="00AC19FC">
        <w:t>road g</w:t>
      </w:r>
      <w:r>
        <w:t xml:space="preserve">rants and </w:t>
      </w:r>
      <w:r w:rsidR="00AC19FC">
        <w:t>s</w:t>
      </w:r>
      <w:r>
        <w:t xml:space="preserve">pecial </w:t>
      </w:r>
      <w:r w:rsidR="00AC19FC">
        <w:t>p</w:t>
      </w:r>
      <w:r>
        <w:t xml:space="preserve">roject </w:t>
      </w:r>
      <w:r w:rsidR="00AC19FC">
        <w:t>g</w:t>
      </w:r>
      <w:r>
        <w:t>rants where applicable.</w:t>
      </w:r>
      <w:bookmarkStart w:id="65" w:name="_Toc371434440"/>
      <w:bookmarkStart w:id="66" w:name="_Toc410647363"/>
    </w:p>
    <w:p w:rsidR="0079728D" w:rsidRDefault="0079728D" w:rsidP="009C0FF5">
      <w:pPr>
        <w:pStyle w:val="BodyText"/>
      </w:pPr>
      <w:r>
        <w:t xml:space="preserve">The </w:t>
      </w:r>
      <w:r w:rsidR="00F21B9E">
        <w:t>B</w:t>
      </w:r>
      <w:r>
        <w:t xml:space="preserve">alanced </w:t>
      </w:r>
      <w:r w:rsidR="00F21B9E">
        <w:t>B</w:t>
      </w:r>
      <w:r>
        <w:t xml:space="preserve">udget which details the calculation of each local governments general purpose grant is also made available to local governments on the </w:t>
      </w:r>
      <w:r w:rsidR="00AC19FC">
        <w:t xml:space="preserve">Department of Local Government </w:t>
      </w:r>
      <w:hyperlink r:id="rId23" w:history="1">
        <w:r w:rsidRPr="0079728D">
          <w:rPr>
            <w:rStyle w:val="Hyperlink"/>
          </w:rPr>
          <w:t>Publications web page</w:t>
        </w:r>
      </w:hyperlink>
      <w:r>
        <w:t>.</w:t>
      </w:r>
    </w:p>
    <w:p w:rsidR="009C0FF5" w:rsidRDefault="009C0FF5" w:rsidP="009C0FF5">
      <w:pPr>
        <w:pStyle w:val="Heading2"/>
      </w:pPr>
      <w:bookmarkStart w:id="67" w:name="_Toc412713568"/>
      <w:bookmarkStart w:id="68" w:name="_Toc434918438"/>
      <w:r>
        <w:t xml:space="preserve">Public and Special </w:t>
      </w:r>
      <w:bookmarkEnd w:id="65"/>
      <w:r>
        <w:t>Hearings</w:t>
      </w:r>
      <w:bookmarkEnd w:id="66"/>
      <w:bookmarkEnd w:id="67"/>
      <w:bookmarkEnd w:id="68"/>
    </w:p>
    <w:p w:rsidR="009C0FF5" w:rsidRDefault="009C0FF5" w:rsidP="009C0FF5">
      <w:pPr>
        <w:pStyle w:val="BodyText"/>
      </w:pPr>
      <w:r>
        <w:t xml:space="preserve">In accordance with the </w:t>
      </w:r>
      <w:r w:rsidRPr="004F3363">
        <w:rPr>
          <w:i/>
        </w:rPr>
        <w:t>Local Government (Financial Assistance) Act 1995</w:t>
      </w:r>
      <w:r>
        <w:t xml:space="preserve">, the Commission undertakes public hearings with local governments. The hearings consist of a formal presentation about the operations of the Grants Commission. </w:t>
      </w:r>
    </w:p>
    <w:p w:rsidR="009C0FF5" w:rsidRDefault="009C0FF5" w:rsidP="009C0FF5">
      <w:pPr>
        <w:pStyle w:val="BodyText"/>
      </w:pPr>
      <w:r>
        <w:lastRenderedPageBreak/>
        <w:t>During</w:t>
      </w:r>
      <w:r w:rsidR="005F12B5">
        <w:t xml:space="preserve"> and after</w:t>
      </w:r>
      <w:r>
        <w:t xml:space="preserve"> each hearing, local governments are given the opportunity to present submissions to the Commission on their grant determination and any issues relevant to the grant determination process.</w:t>
      </w:r>
    </w:p>
    <w:p w:rsidR="009C0FF5" w:rsidRDefault="009C0FF5" w:rsidP="009C0FF5">
      <w:pPr>
        <w:pStyle w:val="BodyText"/>
      </w:pPr>
      <w:r>
        <w:t>The hearings facilitate discussion between councillors, staff, members of the public and the Commission. The Commission holds public hearings with each local government at least once every five years.</w:t>
      </w:r>
    </w:p>
    <w:p w:rsidR="009C0FF5" w:rsidRDefault="009C0FF5" w:rsidP="009C0FF5">
      <w:pPr>
        <w:pStyle w:val="BodyText"/>
      </w:pPr>
      <w:r>
        <w:t>Through these hearings, the Commission is able to gain a greater understanding of the issues affecting local governments and their capacity to provide services and facilities to their communities.</w:t>
      </w:r>
    </w:p>
    <w:p w:rsidR="009C0FF5" w:rsidRDefault="009C0FF5" w:rsidP="009C0FF5">
      <w:pPr>
        <w:pStyle w:val="BodyText"/>
      </w:pPr>
      <w:r>
        <w:t>The Commission is keen to provide all local governments and other interested parties with an opportunity to understand the grant determination process and to present their views on any aspect of the process.</w:t>
      </w:r>
    </w:p>
    <w:p w:rsidR="009C0FF5" w:rsidRDefault="009C0FF5" w:rsidP="009C0FF5">
      <w:pPr>
        <w:pStyle w:val="BodyText"/>
      </w:pPr>
      <w:r>
        <w:t>In 201</w:t>
      </w:r>
      <w:r w:rsidR="00D32CD1">
        <w:t>4</w:t>
      </w:r>
      <w:r>
        <w:t>-1</w:t>
      </w:r>
      <w:r w:rsidR="00D32CD1">
        <w:t>5</w:t>
      </w:r>
      <w:r>
        <w:t xml:space="preserve"> the Commission conducted public hearings </w:t>
      </w:r>
      <w:r w:rsidR="00E05313">
        <w:t>at</w:t>
      </w:r>
      <w:r>
        <w:t xml:space="preserve"> the</w:t>
      </w:r>
      <w:r w:rsidR="00672D56">
        <w:t xml:space="preserve"> following</w:t>
      </w:r>
      <w:r>
        <w:t xml:space="preserve"> local governments.</w:t>
      </w:r>
    </w:p>
    <w:p w:rsidR="00F84564" w:rsidRDefault="00F84564" w:rsidP="00F84564">
      <w:pPr>
        <w:pStyle w:val="Caption"/>
      </w:pPr>
      <w:r>
        <w:t xml:space="preserve">Table </w:t>
      </w:r>
      <w:r w:rsidR="00FF2AF3">
        <w:fldChar w:fldCharType="begin"/>
      </w:r>
      <w:r w:rsidR="00FF2AF3">
        <w:instrText xml:space="preserve"> SEQ Table \* ARABIC </w:instrText>
      </w:r>
      <w:r w:rsidR="00FF2AF3">
        <w:fldChar w:fldCharType="separate"/>
      </w:r>
      <w:r w:rsidR="0073161D">
        <w:rPr>
          <w:noProof/>
        </w:rPr>
        <w:t>2</w:t>
      </w:r>
      <w:r w:rsidR="00FF2AF3">
        <w:rPr>
          <w:noProof/>
        </w:rPr>
        <w:fldChar w:fldCharType="end"/>
      </w:r>
      <w:r>
        <w:t xml:space="preserve">: </w:t>
      </w:r>
      <w:r w:rsidR="005F12B5">
        <w:t>Public Hearings</w:t>
      </w:r>
      <w:r w:rsidR="00D32CD1">
        <w:t xml:space="preserve"> in 2014</w:t>
      </w:r>
      <w:r w:rsidRPr="00B46622">
        <w:t>-1</w:t>
      </w:r>
      <w:r w:rsidR="00D32CD1">
        <w:t>5</w:t>
      </w:r>
    </w:p>
    <w:tbl>
      <w:tblPr>
        <w:tblStyle w:val="BoardReady"/>
        <w:tblW w:w="0" w:type="auto"/>
        <w:tblLook w:val="04A0" w:firstRow="1" w:lastRow="0" w:firstColumn="1" w:lastColumn="0" w:noHBand="0" w:noVBand="1"/>
        <w:tblCaption w:val="Table2: Public Hearings in 2014-15"/>
        <w:tblDescription w:val="Table2: Public Hearings in 2014-15"/>
      </w:tblPr>
      <w:tblGrid>
        <w:gridCol w:w="3261"/>
        <w:gridCol w:w="5494"/>
      </w:tblGrid>
      <w:tr w:rsidR="00F84564" w:rsidRPr="00F84564" w:rsidTr="00954493">
        <w:trPr>
          <w:cnfStyle w:val="100000000000" w:firstRow="1" w:lastRow="0" w:firstColumn="0" w:lastColumn="0" w:oddVBand="0" w:evenVBand="0" w:oddHBand="0" w:evenHBand="0" w:firstRowFirstColumn="0" w:firstRowLastColumn="0" w:lastRowFirstColumn="0" w:lastRowLastColumn="0"/>
          <w:tblHeader/>
        </w:trPr>
        <w:tc>
          <w:tcPr>
            <w:tcW w:w="3261" w:type="dxa"/>
            <w:tcBorders>
              <w:bottom w:val="single" w:sz="12" w:space="0" w:color="FFFFFF" w:themeColor="background1"/>
            </w:tcBorders>
          </w:tcPr>
          <w:p w:rsidR="00F84564" w:rsidRPr="00511A06" w:rsidRDefault="00F84564" w:rsidP="00902C56">
            <w:pPr>
              <w:spacing w:before="60" w:after="60" w:line="240" w:lineRule="auto"/>
              <w:rPr>
                <w:b/>
                <w:color w:val="3C3C3C"/>
              </w:rPr>
            </w:pPr>
            <w:r w:rsidRPr="00511A06">
              <w:rPr>
                <w:b/>
                <w:color w:val="3C3C3C"/>
              </w:rPr>
              <w:t>Region</w:t>
            </w:r>
          </w:p>
        </w:tc>
        <w:tc>
          <w:tcPr>
            <w:tcW w:w="5494" w:type="dxa"/>
            <w:tcBorders>
              <w:bottom w:val="single" w:sz="12" w:space="0" w:color="FFFFFF" w:themeColor="background1"/>
            </w:tcBorders>
          </w:tcPr>
          <w:p w:rsidR="00F84564" w:rsidRPr="00511A06" w:rsidRDefault="00F84564" w:rsidP="00902C56">
            <w:pPr>
              <w:spacing w:before="60" w:after="60" w:line="240" w:lineRule="auto"/>
              <w:rPr>
                <w:b/>
                <w:color w:val="3C3C3C"/>
              </w:rPr>
            </w:pPr>
            <w:r w:rsidRPr="00511A06">
              <w:rPr>
                <w:b/>
                <w:color w:val="3C3C3C"/>
              </w:rPr>
              <w:t>Local Governments</w:t>
            </w:r>
          </w:p>
        </w:tc>
      </w:tr>
      <w:tr w:rsidR="00F84564" w:rsidRPr="00F84564" w:rsidTr="00954493">
        <w:tc>
          <w:tcPr>
            <w:tcW w:w="3261" w:type="dxa"/>
            <w:shd w:val="clear" w:color="auto" w:fill="E1F4FD"/>
          </w:tcPr>
          <w:p w:rsidR="00F84564" w:rsidRPr="00F84564" w:rsidRDefault="00D32CD1" w:rsidP="00902C56">
            <w:pPr>
              <w:widowControl w:val="0"/>
              <w:autoSpaceDE w:val="0"/>
              <w:autoSpaceDN w:val="0"/>
              <w:adjustRightInd w:val="0"/>
              <w:spacing w:after="120" w:line="240" w:lineRule="auto"/>
              <w:ind w:right="187"/>
              <w:rPr>
                <w:color w:val="3C3C3C"/>
              </w:rPr>
            </w:pPr>
            <w:r>
              <w:rPr>
                <w:color w:val="3C3C3C"/>
              </w:rPr>
              <w:t>Avon/Central Midlands/Central Coast</w:t>
            </w:r>
          </w:p>
        </w:tc>
        <w:tc>
          <w:tcPr>
            <w:tcW w:w="5494" w:type="dxa"/>
            <w:shd w:val="clear" w:color="auto" w:fill="E1F4FD"/>
          </w:tcPr>
          <w:p w:rsidR="00F84564" w:rsidRPr="00F84564" w:rsidRDefault="00D32CD1" w:rsidP="00902C56">
            <w:pPr>
              <w:widowControl w:val="0"/>
              <w:autoSpaceDE w:val="0"/>
              <w:autoSpaceDN w:val="0"/>
              <w:adjustRightInd w:val="0"/>
              <w:spacing w:after="120" w:line="240" w:lineRule="auto"/>
              <w:ind w:right="187"/>
              <w:rPr>
                <w:color w:val="3C3C3C"/>
              </w:rPr>
            </w:pPr>
            <w:r>
              <w:rPr>
                <w:color w:val="3C3C3C"/>
              </w:rPr>
              <w:t>Chittering, Gingin, Northam, Toodyay, York</w:t>
            </w:r>
          </w:p>
        </w:tc>
      </w:tr>
      <w:tr w:rsidR="00F84564" w:rsidRPr="00F84564" w:rsidTr="00954493">
        <w:tc>
          <w:tcPr>
            <w:tcW w:w="3261" w:type="dxa"/>
            <w:shd w:val="clear" w:color="auto" w:fill="E1F4FD"/>
          </w:tcPr>
          <w:p w:rsidR="00F84564" w:rsidRPr="00F84564" w:rsidRDefault="00D4281E" w:rsidP="00902C56">
            <w:pPr>
              <w:widowControl w:val="0"/>
              <w:autoSpaceDE w:val="0"/>
              <w:autoSpaceDN w:val="0"/>
              <w:adjustRightInd w:val="0"/>
              <w:spacing w:after="120" w:line="240" w:lineRule="auto"/>
              <w:ind w:right="187"/>
              <w:rPr>
                <w:color w:val="3C3C3C"/>
              </w:rPr>
            </w:pPr>
            <w:r>
              <w:rPr>
                <w:color w:val="3C3C3C"/>
              </w:rPr>
              <w:t>Goldfields Esperance</w:t>
            </w:r>
            <w:r w:rsidR="00F50701">
              <w:rPr>
                <w:color w:val="3C3C3C"/>
              </w:rPr>
              <w:t>/Great Southern</w:t>
            </w:r>
          </w:p>
        </w:tc>
        <w:tc>
          <w:tcPr>
            <w:tcW w:w="5494" w:type="dxa"/>
            <w:shd w:val="clear" w:color="auto" w:fill="E1F4FD"/>
          </w:tcPr>
          <w:p w:rsidR="00F84564" w:rsidRPr="00F84564" w:rsidRDefault="00D32CD1" w:rsidP="00902C56">
            <w:pPr>
              <w:widowControl w:val="0"/>
              <w:autoSpaceDE w:val="0"/>
              <w:autoSpaceDN w:val="0"/>
              <w:adjustRightInd w:val="0"/>
              <w:spacing w:after="120" w:line="240" w:lineRule="auto"/>
              <w:ind w:right="187"/>
              <w:rPr>
                <w:color w:val="3C3C3C"/>
              </w:rPr>
            </w:pPr>
            <w:r>
              <w:rPr>
                <w:color w:val="3C3C3C"/>
              </w:rPr>
              <w:t>Coolgardie, Dundas, Esperance, Jerramungup, Kalgoorlie-Boulder, Ngaanyatjarraku, Ravensthorpe</w:t>
            </w:r>
          </w:p>
        </w:tc>
      </w:tr>
      <w:tr w:rsidR="00F84564" w:rsidRPr="00F84564" w:rsidTr="00954493">
        <w:tc>
          <w:tcPr>
            <w:tcW w:w="3261" w:type="dxa"/>
            <w:shd w:val="clear" w:color="auto" w:fill="E1F4FD"/>
          </w:tcPr>
          <w:p w:rsidR="00F84564" w:rsidRPr="00F84564" w:rsidRDefault="00D32CD1" w:rsidP="00902C56">
            <w:pPr>
              <w:widowControl w:val="0"/>
              <w:autoSpaceDE w:val="0"/>
              <w:autoSpaceDN w:val="0"/>
              <w:adjustRightInd w:val="0"/>
              <w:spacing w:after="120" w:line="240" w:lineRule="auto"/>
              <w:ind w:right="187"/>
              <w:rPr>
                <w:color w:val="3C3C3C"/>
              </w:rPr>
            </w:pPr>
            <w:r>
              <w:rPr>
                <w:color w:val="3C3C3C"/>
              </w:rPr>
              <w:t>Midwest</w:t>
            </w:r>
            <w:r w:rsidR="00F50701">
              <w:rPr>
                <w:color w:val="3C3C3C"/>
              </w:rPr>
              <w:t>/Central Midlands/Central Coast</w:t>
            </w:r>
          </w:p>
        </w:tc>
        <w:tc>
          <w:tcPr>
            <w:tcW w:w="5494" w:type="dxa"/>
            <w:shd w:val="clear" w:color="auto" w:fill="E1F4FD"/>
          </w:tcPr>
          <w:p w:rsidR="00F84564" w:rsidRPr="00F84564" w:rsidRDefault="00D32CD1" w:rsidP="00902C56">
            <w:pPr>
              <w:widowControl w:val="0"/>
              <w:autoSpaceDE w:val="0"/>
              <w:autoSpaceDN w:val="0"/>
              <w:adjustRightInd w:val="0"/>
              <w:spacing w:after="120" w:line="240" w:lineRule="auto"/>
              <w:ind w:right="187"/>
              <w:rPr>
                <w:color w:val="3C3C3C"/>
              </w:rPr>
            </w:pPr>
            <w:r>
              <w:rPr>
                <w:color w:val="3C3C3C"/>
              </w:rPr>
              <w:t>Carnamah, Coorow, Dandaragan, Irwin, Moora, Victoria Plains</w:t>
            </w:r>
          </w:p>
        </w:tc>
      </w:tr>
      <w:tr w:rsidR="00F84564" w:rsidRPr="00F84564" w:rsidTr="00954493">
        <w:tc>
          <w:tcPr>
            <w:tcW w:w="3261" w:type="dxa"/>
            <w:shd w:val="clear" w:color="auto" w:fill="E1F4FD"/>
          </w:tcPr>
          <w:p w:rsidR="00F84564" w:rsidRPr="00F84564" w:rsidRDefault="00D32CD1" w:rsidP="00902C56">
            <w:pPr>
              <w:widowControl w:val="0"/>
              <w:autoSpaceDE w:val="0"/>
              <w:autoSpaceDN w:val="0"/>
              <w:adjustRightInd w:val="0"/>
              <w:spacing w:after="120" w:line="240" w:lineRule="auto"/>
              <w:ind w:right="187"/>
              <w:rPr>
                <w:color w:val="3C3C3C"/>
              </w:rPr>
            </w:pPr>
            <w:r>
              <w:rPr>
                <w:color w:val="3C3C3C"/>
              </w:rPr>
              <w:t>Great Southern</w:t>
            </w:r>
            <w:r w:rsidR="00F50701">
              <w:rPr>
                <w:color w:val="3C3C3C"/>
              </w:rPr>
              <w:t>/</w:t>
            </w:r>
            <w:proofErr w:type="spellStart"/>
            <w:r w:rsidR="00F50701">
              <w:rPr>
                <w:color w:val="3C3C3C"/>
              </w:rPr>
              <w:t>Wheatbelt</w:t>
            </w:r>
            <w:proofErr w:type="spellEnd"/>
            <w:r w:rsidR="00F50701">
              <w:rPr>
                <w:color w:val="3C3C3C"/>
              </w:rPr>
              <w:t xml:space="preserve"> South</w:t>
            </w:r>
          </w:p>
        </w:tc>
        <w:tc>
          <w:tcPr>
            <w:tcW w:w="5494" w:type="dxa"/>
            <w:shd w:val="clear" w:color="auto" w:fill="E1F4FD"/>
          </w:tcPr>
          <w:p w:rsidR="00F84564" w:rsidRPr="00F84564" w:rsidRDefault="00D32CD1" w:rsidP="00902C56">
            <w:pPr>
              <w:widowControl w:val="0"/>
              <w:autoSpaceDE w:val="0"/>
              <w:autoSpaceDN w:val="0"/>
              <w:adjustRightInd w:val="0"/>
              <w:spacing w:after="120" w:line="240" w:lineRule="auto"/>
              <w:ind w:right="187"/>
              <w:rPr>
                <w:color w:val="3C3C3C"/>
              </w:rPr>
            </w:pPr>
            <w:r>
              <w:rPr>
                <w:color w:val="3C3C3C"/>
              </w:rPr>
              <w:t>Dumbleyung, Gnowangerup, Katanning, Wagin, West Arthur, Woodanilling</w:t>
            </w:r>
          </w:p>
        </w:tc>
      </w:tr>
    </w:tbl>
    <w:p w:rsidR="009C0FF5" w:rsidRDefault="009C0FF5" w:rsidP="00511A06">
      <w:pPr>
        <w:pStyle w:val="BodyText"/>
        <w:spacing w:before="360"/>
      </w:pPr>
      <w:r>
        <w:t>In addition to the public hearings, local governments can request a special hearing with the Commission. This provides any local government with an opportunity to present a submission on the grant determination process in order to address issues of an urgent nature.</w:t>
      </w:r>
    </w:p>
    <w:p w:rsidR="009C0FF5" w:rsidRPr="002E5DBB" w:rsidRDefault="009C0FF5" w:rsidP="009C0FF5">
      <w:pPr>
        <w:pStyle w:val="Heading2"/>
      </w:pPr>
      <w:bookmarkStart w:id="69" w:name="_Toc371434441"/>
      <w:bookmarkStart w:id="70" w:name="_Toc410647364"/>
      <w:bookmarkStart w:id="71" w:name="_Toc412713569"/>
      <w:bookmarkStart w:id="72" w:name="_Toc434918439"/>
      <w:r w:rsidRPr="002E5DBB">
        <w:lastRenderedPageBreak/>
        <w:t>Submissions</w:t>
      </w:r>
      <w:bookmarkEnd w:id="69"/>
      <w:bookmarkEnd w:id="70"/>
      <w:bookmarkEnd w:id="71"/>
      <w:bookmarkEnd w:id="72"/>
    </w:p>
    <w:p w:rsidR="009C0FF5" w:rsidRDefault="009C0FF5" w:rsidP="009C0FF5">
      <w:pPr>
        <w:pStyle w:val="BodyText"/>
        <w:spacing w:after="120"/>
      </w:pPr>
      <w:r>
        <w:t>Each year, local governments are given the opportunity to highlight particular disadvantages they face in the provision of local government services. In 201</w:t>
      </w:r>
      <w:r w:rsidR="005F12B5">
        <w:t>4</w:t>
      </w:r>
      <w:r>
        <w:t>-1</w:t>
      </w:r>
      <w:r w:rsidR="005F12B5">
        <w:t>5</w:t>
      </w:r>
      <w:r>
        <w:t>, the Commission received submissions from the following local governments:</w:t>
      </w:r>
    </w:p>
    <w:p w:rsidR="009C0FF5" w:rsidRDefault="009C0FF5" w:rsidP="009C0FF5">
      <w:pPr>
        <w:pStyle w:val="BodyText"/>
        <w:numPr>
          <w:ilvl w:val="0"/>
          <w:numId w:val="29"/>
        </w:numPr>
        <w:tabs>
          <w:tab w:val="left" w:pos="4643"/>
        </w:tabs>
        <w:spacing w:after="120"/>
        <w:ind w:right="227"/>
        <w:sectPr w:rsidR="009C0FF5" w:rsidSect="003120D7">
          <w:type w:val="continuous"/>
          <w:pgSz w:w="11906" w:h="16838"/>
          <w:pgMar w:top="1418" w:right="1418" w:bottom="1134" w:left="1418" w:header="709" w:footer="709" w:gutter="0"/>
          <w:cols w:space="708"/>
          <w:docGrid w:linePitch="360"/>
        </w:sectPr>
      </w:pPr>
    </w:p>
    <w:p w:rsidR="00092BAD" w:rsidRDefault="00092BAD" w:rsidP="00092BAD">
      <w:pPr>
        <w:pStyle w:val="List-BulletDLGClast"/>
      </w:pPr>
      <w:r>
        <w:t>Shire of Exmouth</w:t>
      </w:r>
      <w:r>
        <w:tab/>
      </w:r>
      <w:r>
        <w:tab/>
      </w:r>
    </w:p>
    <w:p w:rsidR="00092BAD" w:rsidRDefault="00092BAD" w:rsidP="00092BAD">
      <w:pPr>
        <w:pStyle w:val="List-BulletDLGClast"/>
      </w:pPr>
      <w:r w:rsidRPr="006C0E21">
        <w:t xml:space="preserve">Shire of </w:t>
      </w:r>
      <w:r>
        <w:t>Halls Creek</w:t>
      </w:r>
      <w:r w:rsidRPr="0063609E">
        <w:t xml:space="preserve"> </w:t>
      </w:r>
    </w:p>
    <w:p w:rsidR="009C0FF5" w:rsidRDefault="00092BAD" w:rsidP="00092BAD">
      <w:pPr>
        <w:pStyle w:val="List-BulletDLGClast"/>
      </w:pPr>
      <w:r>
        <w:t>Shire of Toodyay</w:t>
      </w:r>
    </w:p>
    <w:p w:rsidR="009C0FF5" w:rsidRDefault="00092BAD" w:rsidP="009C0FF5">
      <w:pPr>
        <w:pStyle w:val="BodyText"/>
        <w:numPr>
          <w:ilvl w:val="0"/>
          <w:numId w:val="29"/>
        </w:numPr>
        <w:tabs>
          <w:tab w:val="left" w:pos="4643"/>
        </w:tabs>
        <w:spacing w:after="120"/>
        <w:ind w:right="227"/>
      </w:pPr>
      <w:r>
        <w:t>Kimberley Zone</w:t>
      </w:r>
      <w:r w:rsidR="005F12B5">
        <w:t xml:space="preserve"> of</w:t>
      </w:r>
      <w:r w:rsidR="0073161D">
        <w:t xml:space="preserve"> the</w:t>
      </w:r>
      <w:r w:rsidR="005F12B5">
        <w:t xml:space="preserve"> W</w:t>
      </w:r>
      <w:r w:rsidR="0073161D">
        <w:t xml:space="preserve">estern </w:t>
      </w:r>
      <w:r w:rsidR="005F12B5">
        <w:t>A</w:t>
      </w:r>
      <w:r w:rsidR="0073161D">
        <w:t xml:space="preserve">ustralian </w:t>
      </w:r>
      <w:r w:rsidR="005F12B5">
        <w:t>L</w:t>
      </w:r>
      <w:r w:rsidR="0073161D">
        <w:t xml:space="preserve">ocal </w:t>
      </w:r>
      <w:r w:rsidR="005F12B5">
        <w:t>G</w:t>
      </w:r>
      <w:r w:rsidR="0073161D">
        <w:t xml:space="preserve">overnment </w:t>
      </w:r>
      <w:r w:rsidR="005F12B5">
        <w:t>A</w:t>
      </w:r>
      <w:r w:rsidR="0073161D">
        <w:t>ssociation</w:t>
      </w:r>
    </w:p>
    <w:p w:rsidR="00CF60CB" w:rsidRDefault="003A1F94" w:rsidP="009C0FF5">
      <w:pPr>
        <w:pStyle w:val="BodyText"/>
        <w:spacing w:after="120"/>
      </w:pPr>
      <w:r>
        <w:t>Each local govern</w:t>
      </w:r>
      <w:r w:rsidR="00874024">
        <w:t>ment</w:t>
      </w:r>
      <w:r>
        <w:t xml:space="preserve"> receives a detailed </w:t>
      </w:r>
      <w:r w:rsidR="001730AF">
        <w:t>response</w:t>
      </w:r>
      <w:r w:rsidR="00874024">
        <w:t xml:space="preserve"> from the Commission explaining the reas</w:t>
      </w:r>
      <w:r w:rsidR="00585CCD">
        <w:t>oning behind the decisions made with regards to their submission.</w:t>
      </w:r>
    </w:p>
    <w:p w:rsidR="009C0FF5" w:rsidRDefault="00CF60CB" w:rsidP="009C0FF5">
      <w:pPr>
        <w:pStyle w:val="BodyText"/>
        <w:spacing w:after="120"/>
      </w:pPr>
      <w:r>
        <w:br/>
      </w:r>
      <w:r w:rsidR="009C0FF5">
        <w:t xml:space="preserve">In addition to the general submissions, the following local governments provided feedback to the Commission through the </w:t>
      </w:r>
      <w:r w:rsidR="00092BAD">
        <w:t>F</w:t>
      </w:r>
      <w:r w:rsidR="00AC19FC">
        <w:t xml:space="preserve">ly </w:t>
      </w:r>
      <w:r w:rsidR="00092BAD">
        <w:t>I</w:t>
      </w:r>
      <w:r w:rsidR="00AC19FC">
        <w:t>n-</w:t>
      </w:r>
      <w:r w:rsidR="00092BAD">
        <w:t>F</w:t>
      </w:r>
      <w:r w:rsidR="00AC19FC">
        <w:t xml:space="preserve">ly </w:t>
      </w:r>
      <w:r w:rsidR="00092BAD">
        <w:t>O</w:t>
      </w:r>
      <w:r w:rsidR="00AC19FC">
        <w:t>ut</w:t>
      </w:r>
      <w:r w:rsidR="00092BAD">
        <w:t xml:space="preserve"> and Tourism Surveys</w:t>
      </w:r>
      <w:r w:rsidR="009C0FF5">
        <w:t>.</w:t>
      </w:r>
    </w:p>
    <w:p w:rsidR="009C0FF5" w:rsidRDefault="009C0FF5" w:rsidP="00585CCD">
      <w:pPr>
        <w:pStyle w:val="BodyText"/>
        <w:tabs>
          <w:tab w:val="left" w:pos="4643"/>
        </w:tabs>
        <w:spacing w:after="120"/>
        <w:ind w:right="227"/>
        <w:sectPr w:rsidR="009C0FF5" w:rsidSect="003120D7">
          <w:type w:val="continuous"/>
          <w:pgSz w:w="11906" w:h="16838"/>
          <w:pgMar w:top="1418" w:right="1418" w:bottom="1134" w:left="1418" w:header="708" w:footer="708" w:gutter="0"/>
          <w:cols w:space="708"/>
          <w:docGrid w:linePitch="360"/>
        </w:sectPr>
      </w:pPr>
    </w:p>
    <w:p w:rsidR="009C0FF5" w:rsidRPr="00C1059F" w:rsidRDefault="00092BAD" w:rsidP="00092BAD">
      <w:pPr>
        <w:pStyle w:val="BodyText"/>
        <w:numPr>
          <w:ilvl w:val="0"/>
          <w:numId w:val="30"/>
        </w:numPr>
        <w:tabs>
          <w:tab w:val="left" w:pos="4643"/>
        </w:tabs>
        <w:spacing w:after="120"/>
        <w:ind w:right="227"/>
      </w:pPr>
      <w:r>
        <w:t>Shire of Augusta-Margaret River</w:t>
      </w:r>
    </w:p>
    <w:p w:rsidR="009C0FF5" w:rsidRPr="00C1059F" w:rsidRDefault="00092BAD" w:rsidP="009C0FF5">
      <w:pPr>
        <w:pStyle w:val="BodyText"/>
        <w:numPr>
          <w:ilvl w:val="0"/>
          <w:numId w:val="30"/>
        </w:numPr>
        <w:tabs>
          <w:tab w:val="left" w:pos="4643"/>
        </w:tabs>
        <w:spacing w:after="120"/>
        <w:ind w:right="227"/>
      </w:pPr>
      <w:r>
        <w:t>City of Canning</w:t>
      </w:r>
    </w:p>
    <w:p w:rsidR="009C0FF5" w:rsidRPr="00C1059F" w:rsidRDefault="00092BAD" w:rsidP="009C0FF5">
      <w:pPr>
        <w:pStyle w:val="BodyText"/>
        <w:numPr>
          <w:ilvl w:val="0"/>
          <w:numId w:val="30"/>
        </w:numPr>
        <w:tabs>
          <w:tab w:val="left" w:pos="4643"/>
        </w:tabs>
        <w:spacing w:after="120"/>
        <w:ind w:right="227"/>
      </w:pPr>
      <w:r>
        <w:t>Shire of Carnamah</w:t>
      </w:r>
    </w:p>
    <w:p w:rsidR="00092BAD" w:rsidRDefault="00092BAD" w:rsidP="009C0FF5">
      <w:pPr>
        <w:pStyle w:val="BodyText"/>
        <w:numPr>
          <w:ilvl w:val="0"/>
          <w:numId w:val="30"/>
        </w:numPr>
        <w:tabs>
          <w:tab w:val="left" w:pos="4643"/>
        </w:tabs>
        <w:spacing w:after="120"/>
        <w:ind w:right="227"/>
      </w:pPr>
      <w:r>
        <w:t>Shire of Collie</w:t>
      </w:r>
    </w:p>
    <w:p w:rsidR="009C0FF5" w:rsidRPr="00C1059F" w:rsidRDefault="00092BAD" w:rsidP="009C0FF5">
      <w:pPr>
        <w:pStyle w:val="BodyText"/>
        <w:numPr>
          <w:ilvl w:val="0"/>
          <w:numId w:val="30"/>
        </w:numPr>
        <w:tabs>
          <w:tab w:val="left" w:pos="4643"/>
        </w:tabs>
        <w:spacing w:after="120"/>
        <w:ind w:right="227"/>
      </w:pPr>
      <w:r>
        <w:t>Shire of Dalwallinu</w:t>
      </w:r>
    </w:p>
    <w:p w:rsidR="009C0FF5" w:rsidRPr="00C1059F" w:rsidRDefault="00092BAD" w:rsidP="009C0FF5">
      <w:pPr>
        <w:pStyle w:val="BodyText"/>
        <w:numPr>
          <w:ilvl w:val="0"/>
          <w:numId w:val="30"/>
        </w:numPr>
        <w:tabs>
          <w:tab w:val="left" w:pos="4643"/>
        </w:tabs>
        <w:spacing w:after="120"/>
        <w:ind w:right="227"/>
      </w:pPr>
      <w:r>
        <w:t>City of Greater-Geraldton</w:t>
      </w:r>
    </w:p>
    <w:p w:rsidR="00654B68" w:rsidRDefault="00092BAD" w:rsidP="002654BC">
      <w:pPr>
        <w:pStyle w:val="BodyText"/>
        <w:numPr>
          <w:ilvl w:val="0"/>
          <w:numId w:val="30"/>
        </w:numPr>
        <w:tabs>
          <w:tab w:val="left" w:pos="4643"/>
        </w:tabs>
        <w:spacing w:after="120"/>
        <w:ind w:right="227"/>
      </w:pPr>
      <w:r>
        <w:t>Shire of Jerramungup</w:t>
      </w:r>
    </w:p>
    <w:p w:rsidR="00654B68" w:rsidRDefault="00654B68" w:rsidP="00654B68">
      <w:pPr>
        <w:pStyle w:val="BodyText"/>
        <w:tabs>
          <w:tab w:val="left" w:pos="4643"/>
        </w:tabs>
        <w:spacing w:after="120"/>
        <w:ind w:right="227"/>
      </w:pPr>
    </w:p>
    <w:p w:rsidR="009C0FF5" w:rsidRPr="00C1059F" w:rsidRDefault="00092BAD" w:rsidP="002654BC">
      <w:pPr>
        <w:pStyle w:val="BodyText"/>
        <w:numPr>
          <w:ilvl w:val="0"/>
          <w:numId w:val="30"/>
        </w:numPr>
        <w:tabs>
          <w:tab w:val="left" w:pos="4643"/>
        </w:tabs>
        <w:spacing w:after="120"/>
        <w:ind w:right="227"/>
      </w:pPr>
      <w:r>
        <w:t>Shire of Kondinin</w:t>
      </w:r>
    </w:p>
    <w:p w:rsidR="009C0FF5" w:rsidRDefault="00092BAD" w:rsidP="009C0FF5">
      <w:pPr>
        <w:pStyle w:val="BodyText"/>
        <w:numPr>
          <w:ilvl w:val="0"/>
          <w:numId w:val="30"/>
        </w:numPr>
        <w:tabs>
          <w:tab w:val="left" w:pos="4643"/>
        </w:tabs>
        <w:spacing w:after="120"/>
        <w:ind w:right="227"/>
      </w:pPr>
      <w:r>
        <w:t>Shire of Lake Grace</w:t>
      </w:r>
    </w:p>
    <w:p w:rsidR="009C0FF5" w:rsidRDefault="00092BAD" w:rsidP="009C0FF5">
      <w:pPr>
        <w:pStyle w:val="BodyText"/>
        <w:numPr>
          <w:ilvl w:val="0"/>
          <w:numId w:val="30"/>
        </w:numPr>
        <w:tabs>
          <w:tab w:val="left" w:pos="4643"/>
        </w:tabs>
        <w:spacing w:after="120"/>
        <w:ind w:right="227"/>
      </w:pPr>
      <w:r>
        <w:t>Shire of Manjimup</w:t>
      </w:r>
    </w:p>
    <w:p w:rsidR="009C0FF5" w:rsidRDefault="00092BAD" w:rsidP="009C0FF5">
      <w:pPr>
        <w:pStyle w:val="BodyText"/>
        <w:numPr>
          <w:ilvl w:val="0"/>
          <w:numId w:val="30"/>
        </w:numPr>
        <w:tabs>
          <w:tab w:val="left" w:pos="4643"/>
        </w:tabs>
        <w:spacing w:after="120"/>
        <w:ind w:right="227"/>
      </w:pPr>
      <w:r>
        <w:t>Shire of Menzies</w:t>
      </w:r>
    </w:p>
    <w:p w:rsidR="009C0FF5" w:rsidRDefault="00092BAD" w:rsidP="009C0FF5">
      <w:pPr>
        <w:pStyle w:val="BodyText"/>
        <w:numPr>
          <w:ilvl w:val="0"/>
          <w:numId w:val="30"/>
        </w:numPr>
        <w:tabs>
          <w:tab w:val="left" w:pos="4643"/>
        </w:tabs>
        <w:spacing w:after="120"/>
        <w:ind w:right="227"/>
      </w:pPr>
      <w:r>
        <w:t>Shire of Plantagenet</w:t>
      </w:r>
    </w:p>
    <w:p w:rsidR="009C0FF5" w:rsidRDefault="00092BAD" w:rsidP="009C0FF5">
      <w:pPr>
        <w:pStyle w:val="BodyText"/>
        <w:numPr>
          <w:ilvl w:val="0"/>
          <w:numId w:val="30"/>
        </w:numPr>
        <w:tabs>
          <w:tab w:val="left" w:pos="4643"/>
        </w:tabs>
        <w:spacing w:after="120"/>
        <w:ind w:right="227"/>
      </w:pPr>
      <w:r>
        <w:t>Shire of Three Springs</w:t>
      </w:r>
    </w:p>
    <w:p w:rsidR="009C0FF5" w:rsidRDefault="00092BAD" w:rsidP="009C0FF5">
      <w:pPr>
        <w:pStyle w:val="BodyText"/>
        <w:numPr>
          <w:ilvl w:val="0"/>
          <w:numId w:val="30"/>
        </w:numPr>
        <w:tabs>
          <w:tab w:val="left" w:pos="4643"/>
        </w:tabs>
        <w:spacing w:after="120"/>
        <w:ind w:right="227"/>
      </w:pPr>
      <w:r>
        <w:t>Shire of Williams</w:t>
      </w:r>
    </w:p>
    <w:p w:rsidR="009C0FF5" w:rsidRDefault="00092BAD" w:rsidP="009C0FF5">
      <w:pPr>
        <w:pStyle w:val="BodyText"/>
        <w:numPr>
          <w:ilvl w:val="0"/>
          <w:numId w:val="30"/>
        </w:numPr>
        <w:tabs>
          <w:tab w:val="left" w:pos="4643"/>
        </w:tabs>
        <w:spacing w:after="120"/>
        <w:ind w:right="227"/>
      </w:pPr>
      <w:r>
        <w:t>Shire of Wyalkatchem</w:t>
      </w:r>
    </w:p>
    <w:p w:rsidR="009C0FF5" w:rsidRDefault="009C0FF5" w:rsidP="009C0FF5">
      <w:pPr>
        <w:pStyle w:val="BodyText"/>
        <w:numPr>
          <w:ilvl w:val="0"/>
          <w:numId w:val="30"/>
        </w:numPr>
        <w:tabs>
          <w:tab w:val="left" w:pos="4643"/>
        </w:tabs>
        <w:spacing w:after="120"/>
        <w:ind w:right="227"/>
        <w:sectPr w:rsidR="009C0FF5" w:rsidSect="003120D7">
          <w:type w:val="continuous"/>
          <w:pgSz w:w="11906" w:h="16838"/>
          <w:pgMar w:top="1418" w:right="1418" w:bottom="1134" w:left="1418" w:header="708" w:footer="708" w:gutter="0"/>
          <w:cols w:num="2" w:space="708"/>
          <w:docGrid w:linePitch="360"/>
        </w:sectPr>
      </w:pPr>
    </w:p>
    <w:p w:rsidR="009C0FF5" w:rsidRDefault="009C0FF5" w:rsidP="009C0FF5">
      <w:pPr>
        <w:pStyle w:val="BodyText"/>
        <w:spacing w:after="120"/>
      </w:pPr>
    </w:p>
    <w:p w:rsidR="009C0FF5" w:rsidRDefault="009C0FF5" w:rsidP="009C0FF5">
      <w:pPr>
        <w:pStyle w:val="Heading2"/>
        <w:sectPr w:rsidR="009C0FF5" w:rsidSect="003120D7">
          <w:type w:val="continuous"/>
          <w:pgSz w:w="11906" w:h="16838"/>
          <w:pgMar w:top="1418" w:right="1418" w:bottom="1134" w:left="1418" w:header="708" w:footer="708" w:gutter="0"/>
          <w:cols w:space="708"/>
          <w:docGrid w:linePitch="360"/>
        </w:sectPr>
      </w:pPr>
    </w:p>
    <w:p w:rsidR="009C0FF5" w:rsidRPr="004D2D23" w:rsidRDefault="009C0FF5" w:rsidP="003120D7">
      <w:pPr>
        <w:pStyle w:val="Heading2"/>
        <w:spacing w:before="0"/>
      </w:pPr>
      <w:bookmarkStart w:id="73" w:name="_Toc371434442"/>
      <w:bookmarkStart w:id="74" w:name="_Toc410647365"/>
      <w:bookmarkStart w:id="75" w:name="_Toc412713570"/>
      <w:bookmarkStart w:id="76" w:name="_Toc434918440"/>
      <w:r w:rsidRPr="004D2D23">
        <w:lastRenderedPageBreak/>
        <w:t>Grants to Indian Ocean Territories</w:t>
      </w:r>
      <w:bookmarkEnd w:id="73"/>
      <w:bookmarkEnd w:id="74"/>
      <w:bookmarkEnd w:id="75"/>
      <w:bookmarkEnd w:id="76"/>
    </w:p>
    <w:p w:rsidR="009C0FF5" w:rsidRDefault="009C0FF5" w:rsidP="009C0FF5">
      <w:pPr>
        <w:pStyle w:val="BodyText"/>
      </w:pPr>
      <w:r>
        <w:t xml:space="preserve">The Commission provides advice to the </w:t>
      </w:r>
      <w:r w:rsidRPr="0026668F">
        <w:t>Indian Ocean Territories Administration</w:t>
      </w:r>
      <w:r>
        <w:t xml:space="preserve"> on the level of Financial Assistance Grants to be provided to the Shire of Christmas Island and the Shire of Cocos (Keeling) Islands. The funding for both </w:t>
      </w:r>
      <w:r w:rsidR="00AC19FC">
        <w:t>s</w:t>
      </w:r>
      <w:r>
        <w:t>hires is assessed separately to the allocation of Financial Assistance Grants for WA’s 138 mainland local governments.</w:t>
      </w:r>
      <w:r w:rsidR="00BF60D5">
        <w:t xml:space="preserve"> It is allocated directly by the Commonwealth and does not come out of the </w:t>
      </w:r>
      <w:r w:rsidR="00AC19FC">
        <w:t>s</w:t>
      </w:r>
      <w:r w:rsidR="00BF60D5">
        <w:t>tate</w:t>
      </w:r>
      <w:r w:rsidR="005F12B5">
        <w:t xml:space="preserve"> funding</w:t>
      </w:r>
      <w:r w:rsidR="00BF60D5">
        <w:t xml:space="preserve"> pool.</w:t>
      </w:r>
    </w:p>
    <w:p w:rsidR="009C0FF5" w:rsidRDefault="009C0FF5" w:rsidP="009C0FF5">
      <w:pPr>
        <w:pStyle w:val="BodyText"/>
      </w:pPr>
      <w:r>
        <w:t xml:space="preserve">The Commission assesses the funding requirements of these two </w:t>
      </w:r>
      <w:r w:rsidR="00AC19FC">
        <w:t>s</w:t>
      </w:r>
      <w:r>
        <w:t xml:space="preserve">hires in accordance with the same methodology applied to mainland WA local governments. The </w:t>
      </w:r>
      <w:r w:rsidR="00AC19FC">
        <w:t>l</w:t>
      </w:r>
      <w:r>
        <w:t xml:space="preserve">ocal </w:t>
      </w:r>
      <w:r w:rsidR="00AC19FC">
        <w:t>r</w:t>
      </w:r>
      <w:r>
        <w:t xml:space="preserve">oad funding grant has been assessed in accordance with the </w:t>
      </w:r>
      <w:r w:rsidR="00AC19FC">
        <w:t>A</w:t>
      </w:r>
      <w:r>
        <w:t xml:space="preserve">sset </w:t>
      </w:r>
      <w:r w:rsidR="00AC19FC">
        <w:t>P</w:t>
      </w:r>
      <w:r>
        <w:t>reservation Model. The outcomes for 201</w:t>
      </w:r>
      <w:r w:rsidR="00BF60D5">
        <w:t>5</w:t>
      </w:r>
      <w:r>
        <w:t>-1</w:t>
      </w:r>
      <w:r w:rsidR="00BF60D5">
        <w:t>6</w:t>
      </w:r>
      <w:r>
        <w:t xml:space="preserve"> were as follows:</w:t>
      </w:r>
    </w:p>
    <w:p w:rsidR="004F63D9" w:rsidRDefault="00F84564" w:rsidP="00F84564">
      <w:pPr>
        <w:pStyle w:val="Caption"/>
        <w:rPr>
          <w:rFonts w:ascii="Trebuchet MS" w:hAnsi="Trebuchet MS"/>
          <w:b w:val="0"/>
          <w:color w:val="005F86"/>
          <w:sz w:val="26"/>
          <w:szCs w:val="26"/>
        </w:rPr>
      </w:pPr>
      <w:r>
        <w:t xml:space="preserve">Table </w:t>
      </w:r>
      <w:r w:rsidR="00FF2AF3">
        <w:fldChar w:fldCharType="begin"/>
      </w:r>
      <w:r w:rsidR="00FF2AF3">
        <w:instrText xml:space="preserve"> SEQ Table \* ARABIC </w:instrText>
      </w:r>
      <w:r w:rsidR="00FF2AF3">
        <w:fldChar w:fldCharType="separate"/>
      </w:r>
      <w:r w:rsidR="0073161D">
        <w:rPr>
          <w:noProof/>
        </w:rPr>
        <w:t>3</w:t>
      </w:r>
      <w:r w:rsidR="00FF2AF3">
        <w:rPr>
          <w:noProof/>
        </w:rPr>
        <w:fldChar w:fldCharType="end"/>
      </w:r>
      <w:r>
        <w:t xml:space="preserve">: </w:t>
      </w:r>
      <w:r w:rsidRPr="00E81751">
        <w:t xml:space="preserve"> Financial Assistance Grants f</w:t>
      </w:r>
      <w:r w:rsidR="00BF60D5">
        <w:t>or Indian Ocean Territories 2015</w:t>
      </w:r>
      <w:r w:rsidRPr="00E81751">
        <w:t>-1</w:t>
      </w:r>
      <w:r w:rsidR="00BF60D5">
        <w:t>6</w:t>
      </w:r>
      <w:r w:rsidR="004F63D9" w:rsidRPr="004F63D9">
        <w:rPr>
          <w:rFonts w:ascii="Trebuchet MS" w:hAnsi="Trebuchet MS"/>
          <w:b w:val="0"/>
          <w:color w:val="005F86"/>
          <w:sz w:val="26"/>
          <w:szCs w:val="26"/>
        </w:rPr>
        <w:t xml:space="preserve"> </w:t>
      </w:r>
    </w:p>
    <w:p w:rsidR="00F84564" w:rsidRDefault="004F63D9" w:rsidP="00F84564">
      <w:pPr>
        <w:pStyle w:val="Caption"/>
      </w:pPr>
      <w:r w:rsidRPr="00196D60">
        <w:rPr>
          <w:rFonts w:ascii="Trebuchet MS" w:hAnsi="Trebuchet MS"/>
          <w:b w:val="0"/>
          <w:color w:val="005F86"/>
          <w:sz w:val="26"/>
          <w:szCs w:val="26"/>
        </w:rPr>
        <w:t>General Purpose Grants</w:t>
      </w:r>
    </w:p>
    <w:tbl>
      <w:tblPr>
        <w:tblW w:w="762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3: Financial Assistance Grants for Indian Ocean Territories 2015-16"/>
        <w:tblDescription w:val="Table 3: Financial Assistance Grants for Indian Ocean Territories 2015-16"/>
      </w:tblPr>
      <w:tblGrid>
        <w:gridCol w:w="2333"/>
        <w:gridCol w:w="1284"/>
        <w:gridCol w:w="1559"/>
        <w:gridCol w:w="1536"/>
        <w:gridCol w:w="1417"/>
      </w:tblGrid>
      <w:tr w:rsidR="005F12B5" w:rsidRPr="00654B68" w:rsidTr="000C4373">
        <w:trPr>
          <w:trHeight w:val="660"/>
        </w:trPr>
        <w:tc>
          <w:tcPr>
            <w:tcW w:w="2333" w:type="dxa"/>
            <w:shd w:val="clear" w:color="auto" w:fill="E6E6E6"/>
            <w:vAlign w:val="center"/>
            <w:hideMark/>
          </w:tcPr>
          <w:p w:rsidR="005F12B5" w:rsidRPr="00654B68" w:rsidRDefault="00B31389" w:rsidP="004508B8">
            <w:pPr>
              <w:spacing w:before="60" w:after="60" w:line="240" w:lineRule="auto"/>
              <w:rPr>
                <w:bCs/>
                <w:color w:val="3C3C3C"/>
              </w:rPr>
            </w:pPr>
            <w:r w:rsidRPr="00654B68">
              <w:rPr>
                <w:rFonts w:ascii="Trebuchet MS" w:hAnsi="Trebuchet MS"/>
                <w:b/>
                <w:bCs/>
                <w:color w:val="3C3C3C"/>
              </w:rPr>
              <w:t>Local Government</w:t>
            </w:r>
          </w:p>
        </w:tc>
        <w:tc>
          <w:tcPr>
            <w:tcW w:w="803" w:type="dxa"/>
            <w:shd w:val="clear" w:color="auto" w:fill="E1F4FD"/>
          </w:tcPr>
          <w:p w:rsidR="005F12B5" w:rsidRPr="00654B68" w:rsidRDefault="005F12B5" w:rsidP="00BF60D5">
            <w:pPr>
              <w:spacing w:before="60" w:after="60" w:line="240" w:lineRule="auto"/>
              <w:rPr>
                <w:b/>
                <w:bCs/>
                <w:color w:val="3C3C3C"/>
              </w:rPr>
            </w:pPr>
            <w:r w:rsidRPr="00654B68">
              <w:rPr>
                <w:b/>
                <w:bCs/>
                <w:color w:val="3C3C3C"/>
              </w:rPr>
              <w:t xml:space="preserve">2014-15 </w:t>
            </w:r>
            <w:r w:rsidRPr="00654B68">
              <w:rPr>
                <w:b/>
                <w:bCs/>
                <w:color w:val="3C3C3C"/>
              </w:rPr>
              <w:br w:type="textWrapping" w:clear="all"/>
              <w:t>Final Grant</w:t>
            </w:r>
            <w:r w:rsidR="00AC19FC" w:rsidRPr="00654B68">
              <w:rPr>
                <w:b/>
                <w:bCs/>
                <w:color w:val="3C3C3C"/>
              </w:rPr>
              <w:t xml:space="preserve"> $</w:t>
            </w:r>
          </w:p>
        </w:tc>
        <w:tc>
          <w:tcPr>
            <w:tcW w:w="1559" w:type="dxa"/>
            <w:shd w:val="clear" w:color="auto" w:fill="E1F4FD"/>
          </w:tcPr>
          <w:p w:rsidR="005F12B5" w:rsidRPr="00654B68" w:rsidRDefault="005F12B5" w:rsidP="00BF60D5">
            <w:pPr>
              <w:spacing w:before="60" w:after="60" w:line="240" w:lineRule="auto"/>
              <w:rPr>
                <w:b/>
                <w:bCs/>
                <w:color w:val="3C3C3C"/>
              </w:rPr>
            </w:pPr>
            <w:r w:rsidRPr="00654B68">
              <w:rPr>
                <w:b/>
                <w:bCs/>
                <w:color w:val="3C3C3C"/>
              </w:rPr>
              <w:t xml:space="preserve">2015-16 </w:t>
            </w:r>
            <w:r w:rsidRPr="00654B68">
              <w:rPr>
                <w:b/>
                <w:bCs/>
                <w:color w:val="3C3C3C"/>
              </w:rPr>
              <w:br w:type="textWrapping" w:clear="all"/>
              <w:t>Final GPG Grant</w:t>
            </w:r>
            <w:r w:rsidR="00AC19FC" w:rsidRPr="00654B68">
              <w:rPr>
                <w:b/>
                <w:bCs/>
                <w:color w:val="3C3C3C"/>
              </w:rPr>
              <w:t xml:space="preserve"> $</w:t>
            </w:r>
          </w:p>
        </w:tc>
        <w:tc>
          <w:tcPr>
            <w:tcW w:w="1509" w:type="dxa"/>
            <w:shd w:val="clear" w:color="auto" w:fill="E1F4FD"/>
          </w:tcPr>
          <w:p w:rsidR="005F12B5" w:rsidRPr="00654B68" w:rsidRDefault="005F12B5" w:rsidP="00BF60D5">
            <w:pPr>
              <w:spacing w:before="60" w:after="60" w:line="240" w:lineRule="auto"/>
              <w:rPr>
                <w:b/>
                <w:bCs/>
                <w:color w:val="3C3C3C"/>
              </w:rPr>
            </w:pPr>
            <w:r w:rsidRPr="00654B68">
              <w:rPr>
                <w:b/>
                <w:bCs/>
                <w:color w:val="3C3C3C"/>
              </w:rPr>
              <w:t>2014-15 Adjustment</w:t>
            </w:r>
            <w:r w:rsidR="00AC19FC" w:rsidRPr="00654B68">
              <w:rPr>
                <w:b/>
                <w:bCs/>
                <w:color w:val="3C3C3C"/>
              </w:rPr>
              <w:t xml:space="preserve"> $</w:t>
            </w:r>
          </w:p>
        </w:tc>
        <w:tc>
          <w:tcPr>
            <w:tcW w:w="1417" w:type="dxa"/>
            <w:shd w:val="clear" w:color="auto" w:fill="E1F4FD"/>
          </w:tcPr>
          <w:p w:rsidR="005F12B5" w:rsidRPr="00654B68" w:rsidRDefault="005F12B5" w:rsidP="00BF60D5">
            <w:pPr>
              <w:spacing w:before="60" w:after="60" w:line="240" w:lineRule="auto"/>
              <w:rPr>
                <w:b/>
                <w:bCs/>
                <w:color w:val="3C3C3C"/>
              </w:rPr>
            </w:pPr>
            <w:r w:rsidRPr="00654B68">
              <w:rPr>
                <w:b/>
                <w:bCs/>
                <w:color w:val="3C3C3C"/>
              </w:rPr>
              <w:t>2015-16 Cash Grant</w:t>
            </w:r>
            <w:r w:rsidR="00AC19FC" w:rsidRPr="00654B68">
              <w:rPr>
                <w:b/>
                <w:bCs/>
                <w:color w:val="3C3C3C"/>
              </w:rPr>
              <w:t xml:space="preserve"> $</w:t>
            </w:r>
          </w:p>
        </w:tc>
      </w:tr>
      <w:tr w:rsidR="005F12B5" w:rsidRPr="00654B68" w:rsidTr="000C4373">
        <w:trPr>
          <w:trHeight w:val="330"/>
        </w:trPr>
        <w:tc>
          <w:tcPr>
            <w:tcW w:w="2333" w:type="dxa"/>
            <w:shd w:val="clear" w:color="auto" w:fill="E6E6E6"/>
            <w:noWrap/>
            <w:vAlign w:val="bottom"/>
            <w:hideMark/>
          </w:tcPr>
          <w:p w:rsidR="005F12B5" w:rsidRPr="00654B68" w:rsidRDefault="005F12B5" w:rsidP="004508B8">
            <w:pPr>
              <w:spacing w:before="60" w:after="60" w:line="240" w:lineRule="auto"/>
              <w:rPr>
                <w:b/>
                <w:color w:val="3C3C3C"/>
              </w:rPr>
            </w:pPr>
            <w:r w:rsidRPr="00654B68">
              <w:rPr>
                <w:b/>
                <w:color w:val="3C3C3C"/>
              </w:rPr>
              <w:t>Christmas Island</w:t>
            </w:r>
          </w:p>
        </w:tc>
        <w:tc>
          <w:tcPr>
            <w:tcW w:w="803"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3,605,587</w:t>
            </w:r>
          </w:p>
        </w:tc>
        <w:tc>
          <w:tcPr>
            <w:tcW w:w="1559"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3,659,637</w:t>
            </w:r>
          </w:p>
        </w:tc>
        <w:tc>
          <w:tcPr>
            <w:tcW w:w="1509"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-25,942</w:t>
            </w:r>
          </w:p>
        </w:tc>
        <w:tc>
          <w:tcPr>
            <w:tcW w:w="1417"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3,633,695</w:t>
            </w:r>
          </w:p>
        </w:tc>
      </w:tr>
      <w:tr w:rsidR="005F12B5" w:rsidRPr="00654B68" w:rsidTr="000C4373">
        <w:trPr>
          <w:trHeight w:val="330"/>
        </w:trPr>
        <w:tc>
          <w:tcPr>
            <w:tcW w:w="2333" w:type="dxa"/>
            <w:shd w:val="clear" w:color="auto" w:fill="E6E6E6"/>
            <w:noWrap/>
            <w:vAlign w:val="bottom"/>
            <w:hideMark/>
          </w:tcPr>
          <w:p w:rsidR="005F12B5" w:rsidRPr="00654B68" w:rsidRDefault="005F12B5" w:rsidP="004508B8">
            <w:pPr>
              <w:spacing w:before="60" w:after="60" w:line="240" w:lineRule="auto"/>
              <w:rPr>
                <w:b/>
                <w:color w:val="3C3C3C"/>
              </w:rPr>
            </w:pPr>
            <w:r w:rsidRPr="00654B68">
              <w:rPr>
                <w:b/>
                <w:color w:val="3C3C3C"/>
              </w:rPr>
              <w:t>Cocos (Keeling) Islands</w:t>
            </w:r>
          </w:p>
        </w:tc>
        <w:tc>
          <w:tcPr>
            <w:tcW w:w="803"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2,343,076</w:t>
            </w:r>
          </w:p>
        </w:tc>
        <w:tc>
          <w:tcPr>
            <w:tcW w:w="1559"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2,390,498</w:t>
            </w:r>
          </w:p>
        </w:tc>
        <w:tc>
          <w:tcPr>
            <w:tcW w:w="1509"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-16,856</w:t>
            </w:r>
          </w:p>
        </w:tc>
        <w:tc>
          <w:tcPr>
            <w:tcW w:w="1417" w:type="dxa"/>
            <w:shd w:val="clear" w:color="auto" w:fill="auto"/>
            <w:noWrap/>
            <w:vAlign w:val="bottom"/>
          </w:tcPr>
          <w:p w:rsidR="005F12B5" w:rsidRPr="00654B68" w:rsidRDefault="005F12B5" w:rsidP="004508B8">
            <w:pPr>
              <w:spacing w:before="60" w:after="60" w:line="240" w:lineRule="auto"/>
              <w:jc w:val="right"/>
              <w:rPr>
                <w:color w:val="005F86"/>
              </w:rPr>
            </w:pPr>
            <w:r w:rsidRPr="00654B68">
              <w:rPr>
                <w:color w:val="005F86"/>
              </w:rPr>
              <w:t>2,373,642</w:t>
            </w:r>
          </w:p>
        </w:tc>
      </w:tr>
    </w:tbl>
    <w:p w:rsidR="009C0FF5" w:rsidRDefault="009C0FF5" w:rsidP="009C0FF5">
      <w:pPr>
        <w:pStyle w:val="BodyText"/>
      </w:pPr>
    </w:p>
    <w:p w:rsidR="004F63D9" w:rsidRDefault="004F63D9" w:rsidP="009C0FF5">
      <w:pPr>
        <w:pStyle w:val="BodyText"/>
      </w:pPr>
      <w:r w:rsidRPr="00196D60">
        <w:rPr>
          <w:rFonts w:ascii="Trebuchet MS" w:hAnsi="Trebuchet MS"/>
          <w:b/>
          <w:color w:val="965014"/>
          <w:sz w:val="26"/>
          <w:szCs w:val="26"/>
        </w:rPr>
        <w:t>Local Road Grants</w:t>
      </w:r>
    </w:p>
    <w:tbl>
      <w:tblPr>
        <w:tblW w:w="96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Caption w:val="Table 3: Financial Assistance Grants for Indian Ocean Territories 2015-16"/>
        <w:tblDescription w:val="Table 3: Financial Assistance Grants for Indian Ocean Territories 2015-16"/>
      </w:tblPr>
      <w:tblGrid>
        <w:gridCol w:w="2376"/>
        <w:gridCol w:w="1134"/>
        <w:gridCol w:w="1560"/>
        <w:gridCol w:w="1559"/>
        <w:gridCol w:w="1417"/>
        <w:gridCol w:w="1560"/>
      </w:tblGrid>
      <w:tr w:rsidR="005F12B5" w:rsidRPr="00654B68" w:rsidTr="00DB4A65">
        <w:trPr>
          <w:trHeight w:val="660"/>
        </w:trPr>
        <w:tc>
          <w:tcPr>
            <w:tcW w:w="2376" w:type="dxa"/>
            <w:shd w:val="clear" w:color="auto" w:fill="E6E6E6"/>
            <w:vAlign w:val="center"/>
            <w:hideMark/>
          </w:tcPr>
          <w:p w:rsidR="005F12B5" w:rsidRPr="00654B68" w:rsidRDefault="00B31389" w:rsidP="00723E5B">
            <w:pPr>
              <w:spacing w:before="60" w:after="60" w:line="240" w:lineRule="auto"/>
              <w:rPr>
                <w:bCs/>
                <w:color w:val="3C3C3C"/>
              </w:rPr>
            </w:pPr>
            <w:r w:rsidRPr="00654B68">
              <w:rPr>
                <w:rFonts w:ascii="Trebuchet MS" w:hAnsi="Trebuchet MS"/>
                <w:b/>
                <w:bCs/>
                <w:color w:val="3C3C3C"/>
              </w:rPr>
              <w:t>Local Government</w:t>
            </w:r>
          </w:p>
        </w:tc>
        <w:tc>
          <w:tcPr>
            <w:tcW w:w="1134" w:type="dxa"/>
            <w:shd w:val="clear" w:color="auto" w:fill="FEE7DC"/>
            <w:hideMark/>
          </w:tcPr>
          <w:p w:rsidR="005F12B5" w:rsidRPr="00654B68" w:rsidRDefault="005F12B5" w:rsidP="00723E5B">
            <w:pPr>
              <w:spacing w:before="60" w:after="60" w:line="240" w:lineRule="auto"/>
              <w:rPr>
                <w:b/>
                <w:bCs/>
                <w:color w:val="3C3C3C"/>
              </w:rPr>
            </w:pPr>
            <w:r w:rsidRPr="00654B68">
              <w:rPr>
                <w:b/>
                <w:bCs/>
                <w:color w:val="3C3C3C"/>
              </w:rPr>
              <w:t>2014-15 Final Road Grant</w:t>
            </w:r>
            <w:r w:rsidR="00AC19FC" w:rsidRPr="00654B68">
              <w:rPr>
                <w:b/>
                <w:bCs/>
                <w:color w:val="3C3C3C"/>
              </w:rPr>
              <w:t xml:space="preserve"> $</w:t>
            </w:r>
          </w:p>
        </w:tc>
        <w:tc>
          <w:tcPr>
            <w:tcW w:w="1560" w:type="dxa"/>
            <w:shd w:val="clear" w:color="auto" w:fill="FEE7DC"/>
          </w:tcPr>
          <w:p w:rsidR="005F12B5" w:rsidRPr="00654B68" w:rsidRDefault="005F12B5" w:rsidP="00723E5B">
            <w:pPr>
              <w:spacing w:before="60" w:after="60" w:line="240" w:lineRule="auto"/>
              <w:rPr>
                <w:b/>
                <w:bCs/>
                <w:color w:val="3C3C3C"/>
              </w:rPr>
            </w:pPr>
            <w:r w:rsidRPr="00654B68">
              <w:rPr>
                <w:b/>
                <w:bCs/>
                <w:color w:val="3C3C3C"/>
              </w:rPr>
              <w:t>2015-16 Final Road Grant</w:t>
            </w:r>
            <w:r w:rsidR="00AC19FC" w:rsidRPr="00654B68">
              <w:rPr>
                <w:b/>
                <w:bCs/>
                <w:color w:val="3C3C3C"/>
              </w:rPr>
              <w:t xml:space="preserve"> $</w:t>
            </w:r>
          </w:p>
        </w:tc>
        <w:tc>
          <w:tcPr>
            <w:tcW w:w="1559" w:type="dxa"/>
            <w:shd w:val="clear" w:color="auto" w:fill="FEE7DC"/>
          </w:tcPr>
          <w:p w:rsidR="005F12B5" w:rsidRPr="00654B68" w:rsidRDefault="005F12B5" w:rsidP="00723E5B">
            <w:pPr>
              <w:spacing w:before="60" w:after="60" w:line="240" w:lineRule="auto"/>
              <w:rPr>
                <w:b/>
                <w:bCs/>
                <w:color w:val="3C3C3C"/>
              </w:rPr>
            </w:pPr>
            <w:r w:rsidRPr="00654B68">
              <w:rPr>
                <w:b/>
                <w:bCs/>
                <w:color w:val="3C3C3C"/>
              </w:rPr>
              <w:t>2014-15 Adjustment</w:t>
            </w:r>
            <w:r w:rsidR="00AC19FC" w:rsidRPr="00654B68">
              <w:rPr>
                <w:b/>
                <w:bCs/>
                <w:color w:val="3C3C3C"/>
              </w:rPr>
              <w:t xml:space="preserve"> $</w:t>
            </w:r>
          </w:p>
        </w:tc>
        <w:tc>
          <w:tcPr>
            <w:tcW w:w="1417" w:type="dxa"/>
            <w:shd w:val="clear" w:color="auto" w:fill="FEE7DC"/>
          </w:tcPr>
          <w:p w:rsidR="005F12B5" w:rsidRPr="00654B68" w:rsidRDefault="005F12B5" w:rsidP="00723E5B">
            <w:pPr>
              <w:spacing w:before="60" w:after="60" w:line="240" w:lineRule="auto"/>
              <w:rPr>
                <w:b/>
                <w:bCs/>
                <w:color w:val="3C3C3C"/>
              </w:rPr>
            </w:pPr>
            <w:r w:rsidRPr="00654B68">
              <w:rPr>
                <w:b/>
                <w:bCs/>
                <w:color w:val="3C3C3C"/>
              </w:rPr>
              <w:t>2015-16 Cash Grant</w:t>
            </w:r>
            <w:r w:rsidR="00AC19FC" w:rsidRPr="00654B68">
              <w:rPr>
                <w:b/>
                <w:bCs/>
                <w:color w:val="3C3C3C"/>
              </w:rPr>
              <w:t xml:space="preserve"> $</w:t>
            </w:r>
          </w:p>
        </w:tc>
        <w:tc>
          <w:tcPr>
            <w:tcW w:w="1560" w:type="dxa"/>
            <w:shd w:val="clear" w:color="auto" w:fill="auto"/>
            <w:hideMark/>
          </w:tcPr>
          <w:p w:rsidR="005F12B5" w:rsidRPr="00654B68" w:rsidRDefault="004F63D9" w:rsidP="00723E5B">
            <w:pPr>
              <w:spacing w:before="60" w:after="60" w:line="240" w:lineRule="auto"/>
              <w:rPr>
                <w:b/>
                <w:bCs/>
                <w:color w:val="3C3C3C"/>
              </w:rPr>
            </w:pPr>
            <w:r w:rsidRPr="00654B68">
              <w:rPr>
                <w:rFonts w:ascii="Trebuchet MS" w:hAnsi="Trebuchet MS"/>
                <w:b/>
                <w:color w:val="3C3C3C"/>
              </w:rPr>
              <w:t>Total</w:t>
            </w:r>
            <w:r w:rsidRPr="00654B68">
              <w:rPr>
                <w:b/>
                <w:bCs/>
                <w:color w:val="3C3C3C"/>
              </w:rPr>
              <w:t xml:space="preserve"> </w:t>
            </w:r>
            <w:r w:rsidR="005F12B5" w:rsidRPr="00654B68">
              <w:rPr>
                <w:b/>
                <w:bCs/>
                <w:color w:val="3C3C3C"/>
              </w:rPr>
              <w:t>2015-16 Cash Payment</w:t>
            </w:r>
            <w:r w:rsidR="00AC19FC" w:rsidRPr="00654B68">
              <w:rPr>
                <w:b/>
                <w:bCs/>
                <w:color w:val="3C3C3C"/>
              </w:rPr>
              <w:t xml:space="preserve"> $</w:t>
            </w:r>
          </w:p>
        </w:tc>
      </w:tr>
      <w:tr w:rsidR="005F12B5" w:rsidRPr="00654B68" w:rsidTr="00DB4A65">
        <w:trPr>
          <w:trHeight w:val="330"/>
        </w:trPr>
        <w:tc>
          <w:tcPr>
            <w:tcW w:w="2376" w:type="dxa"/>
            <w:shd w:val="clear" w:color="auto" w:fill="E6E6E6"/>
            <w:noWrap/>
            <w:vAlign w:val="bottom"/>
            <w:hideMark/>
          </w:tcPr>
          <w:p w:rsidR="005F12B5" w:rsidRPr="00654B68" w:rsidRDefault="005F12B5" w:rsidP="00723E5B">
            <w:pPr>
              <w:spacing w:before="60" w:after="60" w:line="240" w:lineRule="auto"/>
              <w:rPr>
                <w:b/>
                <w:color w:val="3C3C3C"/>
              </w:rPr>
            </w:pPr>
            <w:r w:rsidRPr="00654B68">
              <w:rPr>
                <w:b/>
                <w:color w:val="3C3C3C"/>
              </w:rPr>
              <w:t>Christmas Island</w:t>
            </w:r>
          </w:p>
        </w:tc>
        <w:tc>
          <w:tcPr>
            <w:tcW w:w="1134"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442,459</w:t>
            </w:r>
          </w:p>
        </w:tc>
        <w:tc>
          <w:tcPr>
            <w:tcW w:w="1560"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450,767</w:t>
            </w:r>
          </w:p>
        </w:tc>
        <w:tc>
          <w:tcPr>
            <w:tcW w:w="1559"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-7</w:t>
            </w:r>
          </w:p>
        </w:tc>
        <w:tc>
          <w:tcPr>
            <w:tcW w:w="1417"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450,760</w:t>
            </w:r>
          </w:p>
        </w:tc>
        <w:tc>
          <w:tcPr>
            <w:tcW w:w="1560" w:type="dxa"/>
            <w:shd w:val="clear" w:color="auto" w:fill="auto"/>
            <w:noWrap/>
            <w:vAlign w:val="bottom"/>
          </w:tcPr>
          <w:p w:rsidR="005F12B5" w:rsidRPr="00654B68" w:rsidRDefault="005F12B5" w:rsidP="00723E5B">
            <w:pPr>
              <w:spacing w:before="60" w:after="60" w:line="240" w:lineRule="auto"/>
              <w:jc w:val="right"/>
              <w:rPr>
                <w:color w:val="auto"/>
              </w:rPr>
            </w:pPr>
            <w:r w:rsidRPr="00654B68">
              <w:rPr>
                <w:color w:val="auto"/>
              </w:rPr>
              <w:t>4,084,455</w:t>
            </w:r>
          </w:p>
        </w:tc>
      </w:tr>
      <w:tr w:rsidR="005F12B5" w:rsidRPr="00654B68" w:rsidTr="00DB4A65">
        <w:trPr>
          <w:trHeight w:val="330"/>
        </w:trPr>
        <w:tc>
          <w:tcPr>
            <w:tcW w:w="2376" w:type="dxa"/>
            <w:shd w:val="clear" w:color="auto" w:fill="E6E6E6"/>
            <w:noWrap/>
            <w:vAlign w:val="bottom"/>
            <w:hideMark/>
          </w:tcPr>
          <w:p w:rsidR="005F12B5" w:rsidRPr="00654B68" w:rsidRDefault="005F12B5" w:rsidP="00723E5B">
            <w:pPr>
              <w:spacing w:before="60" w:after="60" w:line="240" w:lineRule="auto"/>
              <w:rPr>
                <w:b/>
                <w:color w:val="3C3C3C"/>
              </w:rPr>
            </w:pPr>
            <w:r w:rsidRPr="00654B68">
              <w:rPr>
                <w:b/>
                <w:color w:val="3C3C3C"/>
              </w:rPr>
              <w:t>Cocos (Keeling) Islands</w:t>
            </w:r>
          </w:p>
        </w:tc>
        <w:tc>
          <w:tcPr>
            <w:tcW w:w="1134"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146,935</w:t>
            </w:r>
          </w:p>
        </w:tc>
        <w:tc>
          <w:tcPr>
            <w:tcW w:w="1560"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145,833</w:t>
            </w:r>
          </w:p>
        </w:tc>
        <w:tc>
          <w:tcPr>
            <w:tcW w:w="1559"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-2</w:t>
            </w:r>
          </w:p>
        </w:tc>
        <w:tc>
          <w:tcPr>
            <w:tcW w:w="1417" w:type="dxa"/>
            <w:shd w:val="clear" w:color="auto" w:fill="auto"/>
            <w:noWrap/>
            <w:vAlign w:val="bottom"/>
          </w:tcPr>
          <w:p w:rsidR="005F12B5" w:rsidRPr="00654B68" w:rsidRDefault="005F12B5" w:rsidP="00723E5B">
            <w:pPr>
              <w:spacing w:before="60" w:after="60" w:line="240" w:lineRule="auto"/>
              <w:jc w:val="right"/>
              <w:rPr>
                <w:color w:val="965014"/>
              </w:rPr>
            </w:pPr>
            <w:r w:rsidRPr="00654B68">
              <w:rPr>
                <w:color w:val="965014"/>
              </w:rPr>
              <w:t>145,831</w:t>
            </w:r>
          </w:p>
        </w:tc>
        <w:tc>
          <w:tcPr>
            <w:tcW w:w="1560" w:type="dxa"/>
            <w:shd w:val="clear" w:color="auto" w:fill="auto"/>
            <w:noWrap/>
            <w:vAlign w:val="bottom"/>
          </w:tcPr>
          <w:p w:rsidR="005F12B5" w:rsidRPr="00654B68" w:rsidRDefault="005F12B5" w:rsidP="00723E5B">
            <w:pPr>
              <w:spacing w:before="60" w:after="60" w:line="240" w:lineRule="auto"/>
              <w:jc w:val="right"/>
              <w:rPr>
                <w:color w:val="auto"/>
              </w:rPr>
            </w:pPr>
            <w:r w:rsidRPr="00654B68">
              <w:rPr>
                <w:color w:val="auto"/>
              </w:rPr>
              <w:t>2,519,473</w:t>
            </w:r>
          </w:p>
        </w:tc>
      </w:tr>
    </w:tbl>
    <w:p w:rsidR="005F12B5" w:rsidRDefault="005F12B5" w:rsidP="009C0FF5">
      <w:pPr>
        <w:pStyle w:val="BodyText"/>
      </w:pPr>
    </w:p>
    <w:p w:rsidR="009C0FF5" w:rsidRDefault="009C0FF5" w:rsidP="009C0FF5">
      <w:pPr>
        <w:pStyle w:val="Heading2"/>
        <w:sectPr w:rsidR="009C0FF5" w:rsidSect="005F12B5">
          <w:pgSz w:w="11906" w:h="16838"/>
          <w:pgMar w:top="1134" w:right="1418" w:bottom="1134" w:left="1418" w:header="708" w:footer="708" w:gutter="0"/>
          <w:cols w:space="708"/>
          <w:docGrid w:linePitch="360"/>
        </w:sectPr>
      </w:pPr>
    </w:p>
    <w:p w:rsidR="009C0FF5" w:rsidRPr="00423455" w:rsidRDefault="009C0FF5" w:rsidP="003120D7">
      <w:pPr>
        <w:pStyle w:val="Heading2"/>
        <w:spacing w:before="120"/>
      </w:pPr>
      <w:bookmarkStart w:id="77" w:name="_Toc371434443"/>
      <w:bookmarkStart w:id="78" w:name="_Toc410647366"/>
      <w:bookmarkStart w:id="79" w:name="_Toc412713571"/>
      <w:bookmarkStart w:id="80" w:name="_Toc434918441"/>
      <w:r w:rsidRPr="00423455">
        <w:lastRenderedPageBreak/>
        <w:t>Local Road Funding</w:t>
      </w:r>
      <w:bookmarkEnd w:id="77"/>
      <w:bookmarkEnd w:id="78"/>
      <w:bookmarkEnd w:id="79"/>
      <w:bookmarkEnd w:id="80"/>
    </w:p>
    <w:p w:rsidR="009C0FF5" w:rsidRDefault="009C0FF5" w:rsidP="009C0FF5">
      <w:pPr>
        <w:pStyle w:val="BodyText"/>
      </w:pPr>
      <w:r w:rsidRPr="00423455">
        <w:t>The Commission calculates</w:t>
      </w:r>
      <w:r w:rsidR="00BF60D5">
        <w:t xml:space="preserve"> the</w:t>
      </w:r>
      <w:r w:rsidRPr="00423455">
        <w:t xml:space="preserve"> </w:t>
      </w:r>
      <w:r w:rsidR="00AC19FC">
        <w:t>r</w:t>
      </w:r>
      <w:r w:rsidRPr="00423455">
        <w:t xml:space="preserve">oad </w:t>
      </w:r>
      <w:r w:rsidR="00AC19FC">
        <w:t>g</w:t>
      </w:r>
      <w:r w:rsidRPr="00423455">
        <w:t>rant</w:t>
      </w:r>
      <w:r w:rsidR="00BF60D5">
        <w:t xml:space="preserve"> allocation</w:t>
      </w:r>
      <w:r w:rsidRPr="00423455">
        <w:t xml:space="preserve">s using the Asset Preservation Model </w:t>
      </w:r>
      <w:r w:rsidR="008518F0" w:rsidRPr="00423455">
        <w:t>(APM)</w:t>
      </w:r>
      <w:r w:rsidR="008518F0">
        <w:t xml:space="preserve"> </w:t>
      </w:r>
      <w:r w:rsidRPr="00423455">
        <w:t>which has been in place since 1992.</w:t>
      </w:r>
    </w:p>
    <w:p w:rsidR="004145EC" w:rsidRPr="00423455" w:rsidRDefault="004145EC" w:rsidP="009C0FF5">
      <w:pPr>
        <w:pStyle w:val="BodyText"/>
      </w:pPr>
      <w:r>
        <w:t>Local road inventory data is a critical input to the APM and local governments are encouraged to maintain comprehensive and up to date inventory data.</w:t>
      </w:r>
    </w:p>
    <w:p w:rsidR="009C0FF5" w:rsidRPr="00423455" w:rsidRDefault="00BF60D5" w:rsidP="009C0FF5">
      <w:pPr>
        <w:pStyle w:val="BodyText"/>
      </w:pPr>
      <w:r>
        <w:t>For 2015</w:t>
      </w:r>
      <w:r w:rsidR="009C0FF5" w:rsidRPr="00423455">
        <w:t>-1</w:t>
      </w:r>
      <w:r>
        <w:t>6</w:t>
      </w:r>
      <w:r w:rsidR="009C0FF5" w:rsidRPr="00423455">
        <w:t>, Western Australia received $10</w:t>
      </w:r>
      <w:r w:rsidR="004145EC">
        <w:t>7,549,648</w:t>
      </w:r>
      <w:r w:rsidR="009C0FF5" w:rsidRPr="00423455">
        <w:t xml:space="preserve"> of the total funding pool of $70</w:t>
      </w:r>
      <w:r w:rsidR="004145EC">
        <w:t xml:space="preserve">3,391,849 </w:t>
      </w:r>
      <w:r w:rsidR="009C0FF5" w:rsidRPr="00423455">
        <w:t xml:space="preserve">representing 15.29% of the national total. </w:t>
      </w:r>
      <w:r w:rsidR="009C0FF5">
        <w:t>Ninety-three per cent</w:t>
      </w:r>
      <w:r w:rsidR="00AC19FC">
        <w:t xml:space="preserve"> of the Commonwealth funds for road g</w:t>
      </w:r>
      <w:r w:rsidR="009C0FF5" w:rsidRPr="00423455">
        <w:t xml:space="preserve">rants are distributed </w:t>
      </w:r>
      <w:r w:rsidR="0051018C">
        <w:t>to local government</w:t>
      </w:r>
      <w:r w:rsidR="00446B7F">
        <w:t>s</w:t>
      </w:r>
      <w:r w:rsidR="0051018C">
        <w:t xml:space="preserve"> in WA </w:t>
      </w:r>
      <w:r w:rsidR="009C0FF5" w:rsidRPr="00423455">
        <w:t xml:space="preserve">according to the </w:t>
      </w:r>
      <w:r w:rsidR="008518F0">
        <w:t>APM</w:t>
      </w:r>
      <w:r w:rsidR="009C0FF5" w:rsidRPr="00423455">
        <w:t xml:space="preserve">. Under the current methodology, 7% of the funds are allocated for </w:t>
      </w:r>
      <w:r w:rsidR="00AC19FC">
        <w:t>s</w:t>
      </w:r>
      <w:r w:rsidR="009C0FF5" w:rsidRPr="00423455">
        <w:t xml:space="preserve">pecial </w:t>
      </w:r>
      <w:r w:rsidR="00AC19FC">
        <w:t>p</w:t>
      </w:r>
      <w:r w:rsidR="009C0FF5" w:rsidRPr="00423455">
        <w:t>rojects</w:t>
      </w:r>
      <w:r w:rsidR="009C0FF5">
        <w:t>;</w:t>
      </w:r>
      <w:r w:rsidR="009C0FF5" w:rsidRPr="00423455">
        <w:t xml:space="preserve"> one-third for roads servicing </w:t>
      </w:r>
      <w:r w:rsidR="00912F83">
        <w:t>Aboriginal</w:t>
      </w:r>
      <w:r w:rsidR="009C0FF5" w:rsidRPr="00423455">
        <w:t xml:space="preserve"> communities and two-thirds for bridges. Main Roads WA contributes a third of the cost of projects funded under this program. The amounts involved for 201</w:t>
      </w:r>
      <w:r w:rsidR="004145EC">
        <w:t>5</w:t>
      </w:r>
      <w:r w:rsidR="009C0FF5" w:rsidRPr="00423455">
        <w:t>-1</w:t>
      </w:r>
      <w:r w:rsidR="004145EC">
        <w:t>6</w:t>
      </w:r>
      <w:r w:rsidR="009C0FF5" w:rsidRPr="00423455">
        <w:t xml:space="preserve"> are:</w:t>
      </w:r>
    </w:p>
    <w:p w:rsidR="009C0FF5" w:rsidRPr="00423455" w:rsidRDefault="009C0FF5" w:rsidP="009C0FF5">
      <w:pPr>
        <w:pStyle w:val="BodyText"/>
        <w:tabs>
          <w:tab w:val="left" w:pos="5670"/>
        </w:tabs>
        <w:spacing w:before="360" w:after="120"/>
        <w:ind w:right="1982"/>
      </w:pPr>
      <w:r w:rsidRPr="00423455">
        <w:t xml:space="preserve">Roads Servicing </w:t>
      </w:r>
      <w:r w:rsidR="00912F83">
        <w:t>Abori</w:t>
      </w:r>
      <w:r w:rsidR="00E2512A">
        <w:t>gi</w:t>
      </w:r>
      <w:r w:rsidR="00912F83">
        <w:t>nal</w:t>
      </w:r>
      <w:r w:rsidRPr="00423455">
        <w:t xml:space="preserve"> Communities</w:t>
      </w:r>
      <w:r w:rsidRPr="00423455">
        <w:tab/>
        <w:t>$2,507,481</w:t>
      </w:r>
    </w:p>
    <w:p w:rsidR="009C0FF5" w:rsidRPr="00423455" w:rsidRDefault="009C0FF5" w:rsidP="009C0FF5">
      <w:pPr>
        <w:pStyle w:val="BodyText"/>
        <w:tabs>
          <w:tab w:val="left" w:pos="5670"/>
        </w:tabs>
        <w:spacing w:before="120" w:after="120"/>
        <w:ind w:right="1982"/>
      </w:pPr>
      <w:r w:rsidRPr="00423455">
        <w:t>Bridges</w:t>
      </w:r>
      <w:r w:rsidRPr="00423455">
        <w:tab/>
        <w:t>$5,014,961</w:t>
      </w:r>
    </w:p>
    <w:p w:rsidR="009C0FF5" w:rsidRPr="00423455" w:rsidRDefault="009C0FF5" w:rsidP="00CB72E5">
      <w:pPr>
        <w:pStyle w:val="BodyText"/>
        <w:pBdr>
          <w:bottom w:val="single" w:sz="6" w:space="1" w:color="7F7F7F" w:themeColor="text1" w:themeTint="80"/>
        </w:pBdr>
        <w:tabs>
          <w:tab w:val="left" w:pos="5387"/>
        </w:tabs>
        <w:ind w:right="1982"/>
      </w:pPr>
      <w:r w:rsidRPr="00423455">
        <w:t xml:space="preserve">Distributed according to the APM </w:t>
      </w:r>
      <w:r w:rsidR="00CB72E5">
        <w:tab/>
      </w:r>
      <w:r w:rsidR="004145EC">
        <w:t>$100,027,206</w:t>
      </w:r>
    </w:p>
    <w:p w:rsidR="009C0FF5" w:rsidRPr="00F545AE" w:rsidRDefault="009C0FF5" w:rsidP="009C0FF5">
      <w:pPr>
        <w:pStyle w:val="BodyText"/>
        <w:tabs>
          <w:tab w:val="left" w:pos="5387"/>
          <w:tab w:val="left" w:pos="6521"/>
          <w:tab w:val="left" w:pos="7088"/>
        </w:tabs>
        <w:spacing w:after="600"/>
        <w:ind w:right="1982"/>
        <w:jc w:val="both"/>
      </w:pPr>
      <w:r w:rsidRPr="00423455">
        <w:t>T</w:t>
      </w:r>
      <w:r>
        <w:t>otal:</w:t>
      </w:r>
      <w:r w:rsidRPr="00423455">
        <w:tab/>
        <w:t>$10</w:t>
      </w:r>
      <w:r w:rsidR="004145EC">
        <w:t>7,549,648</w:t>
      </w:r>
    </w:p>
    <w:p w:rsidR="009C0FF5" w:rsidRDefault="009C0FF5" w:rsidP="009C0FF5">
      <w:pPr>
        <w:pStyle w:val="Heading2"/>
      </w:pPr>
      <w:bookmarkStart w:id="81" w:name="_Toc371434444"/>
      <w:bookmarkStart w:id="82" w:name="_Toc410647367"/>
      <w:bookmarkStart w:id="83" w:name="_Toc412713572"/>
      <w:bookmarkStart w:id="84" w:name="_Toc434918442"/>
      <w:r>
        <w:t xml:space="preserve">Special Projects: Roads Servicing </w:t>
      </w:r>
      <w:r w:rsidR="00912F83">
        <w:t>Aboriginal</w:t>
      </w:r>
      <w:r>
        <w:t xml:space="preserve"> Communities</w:t>
      </w:r>
      <w:bookmarkEnd w:id="81"/>
      <w:bookmarkEnd w:id="82"/>
      <w:bookmarkEnd w:id="83"/>
      <w:bookmarkEnd w:id="84"/>
    </w:p>
    <w:p w:rsidR="009C0FF5" w:rsidRDefault="009C0FF5" w:rsidP="009C0FF5">
      <w:pPr>
        <w:pStyle w:val="BodyText"/>
      </w:pPr>
      <w:r>
        <w:t>In 201</w:t>
      </w:r>
      <w:r w:rsidR="004145EC">
        <w:t>5</w:t>
      </w:r>
      <w:r>
        <w:t>-1</w:t>
      </w:r>
      <w:r w:rsidR="004145EC">
        <w:t>6</w:t>
      </w:r>
      <w:r>
        <w:t xml:space="preserve">, the Special Projects funds for </w:t>
      </w:r>
      <w:r w:rsidR="00912F83">
        <w:t>Aboriginal</w:t>
      </w:r>
      <w:r>
        <w:t xml:space="preserve"> access roads will be:</w:t>
      </w:r>
    </w:p>
    <w:p w:rsidR="009C0FF5" w:rsidRDefault="009C0FF5" w:rsidP="00CB72E5">
      <w:pPr>
        <w:pStyle w:val="BodyText"/>
        <w:tabs>
          <w:tab w:val="left" w:pos="5670"/>
        </w:tabs>
        <w:spacing w:before="360" w:after="120"/>
        <w:ind w:right="1982"/>
      </w:pPr>
      <w:r>
        <w:t>Special Project funds from Commission</w:t>
      </w:r>
      <w:r w:rsidR="00CB72E5">
        <w:tab/>
      </w:r>
      <w:r w:rsidRPr="00F545AE">
        <w:t>$2,</w:t>
      </w:r>
      <w:r>
        <w:t>507,481</w:t>
      </w:r>
    </w:p>
    <w:p w:rsidR="009C0FF5" w:rsidRDefault="009C0FF5" w:rsidP="00A2779B">
      <w:pPr>
        <w:pStyle w:val="BodyText"/>
        <w:pBdr>
          <w:bottom w:val="single" w:sz="4" w:space="1" w:color="7F7F7F" w:themeColor="text1" w:themeTint="80"/>
        </w:pBdr>
        <w:tabs>
          <w:tab w:val="left" w:pos="5670"/>
          <w:tab w:val="left" w:pos="7088"/>
        </w:tabs>
        <w:ind w:right="1982"/>
        <w:jc w:val="both"/>
      </w:pPr>
      <w:r>
        <w:t>State funds from Main Roads</w:t>
      </w:r>
      <w:r>
        <w:tab/>
      </w:r>
      <w:r w:rsidRPr="00F545AE">
        <w:t>$</w:t>
      </w:r>
      <w:r>
        <w:t>1,253,740</w:t>
      </w:r>
    </w:p>
    <w:p w:rsidR="009C0FF5" w:rsidRDefault="009C0FF5" w:rsidP="009C0FF5">
      <w:pPr>
        <w:pStyle w:val="BodyText"/>
        <w:tabs>
          <w:tab w:val="left" w:pos="5670"/>
          <w:tab w:val="left" w:pos="7088"/>
        </w:tabs>
        <w:spacing w:after="600"/>
        <w:ind w:right="1982"/>
        <w:jc w:val="both"/>
      </w:pPr>
      <w:r>
        <w:t>Total:</w:t>
      </w:r>
      <w:r>
        <w:tab/>
      </w:r>
      <w:r w:rsidRPr="00F545AE">
        <w:t>$</w:t>
      </w:r>
      <w:r>
        <w:t>3,761,221</w:t>
      </w:r>
    </w:p>
    <w:p w:rsidR="00654B68" w:rsidRDefault="00654B68" w:rsidP="009C0FF5">
      <w:pPr>
        <w:pStyle w:val="ListBulletDLGC-leadinpara"/>
        <w:rPr>
          <w:color w:val="3C3C3C"/>
        </w:rPr>
      </w:pPr>
      <w:r>
        <w:rPr>
          <w:color w:val="3C3C3C"/>
        </w:rPr>
        <w:br w:type="page"/>
      </w:r>
    </w:p>
    <w:p w:rsidR="009C0FF5" w:rsidRPr="00A2779B" w:rsidRDefault="009C0FF5" w:rsidP="009C0FF5">
      <w:pPr>
        <w:pStyle w:val="ListBulletDLGC-leadinpara"/>
        <w:rPr>
          <w:color w:val="3C3C3C"/>
        </w:rPr>
      </w:pPr>
      <w:r w:rsidRPr="00A2779B">
        <w:rPr>
          <w:color w:val="3C3C3C"/>
        </w:rPr>
        <w:lastRenderedPageBreak/>
        <w:t xml:space="preserve">The </w:t>
      </w:r>
      <w:r w:rsidR="0051018C">
        <w:rPr>
          <w:color w:val="3C3C3C"/>
        </w:rPr>
        <w:t>Aboriginal</w:t>
      </w:r>
      <w:r w:rsidRPr="00A2779B">
        <w:rPr>
          <w:color w:val="3C3C3C"/>
        </w:rPr>
        <w:t xml:space="preserve"> </w:t>
      </w:r>
      <w:r w:rsidR="0051018C">
        <w:rPr>
          <w:color w:val="3C3C3C"/>
        </w:rPr>
        <w:t xml:space="preserve">Access </w:t>
      </w:r>
      <w:r w:rsidRPr="00A2779B">
        <w:rPr>
          <w:color w:val="3C3C3C"/>
        </w:rPr>
        <w:t xml:space="preserve">Roads Committee advises the Commission on procedures for determining the allocations of Commonwealth road funds for roads servicing remote </w:t>
      </w:r>
      <w:r w:rsidR="00446B7F">
        <w:rPr>
          <w:color w:val="3C3C3C"/>
        </w:rPr>
        <w:t>A</w:t>
      </w:r>
      <w:r w:rsidR="00912F83">
        <w:rPr>
          <w:color w:val="3C3C3C"/>
        </w:rPr>
        <w:t>boriginal</w:t>
      </w:r>
      <w:r w:rsidRPr="00A2779B">
        <w:rPr>
          <w:color w:val="3C3C3C"/>
        </w:rPr>
        <w:t xml:space="preserve"> communities and recommends the allocations that are made each year. Membership of the committee is made up of representatives from each of the following organisations:</w:t>
      </w:r>
    </w:p>
    <w:p w:rsidR="009C0FF5" w:rsidRPr="00A2779B" w:rsidRDefault="009C0FF5" w:rsidP="009C0FF5">
      <w:pPr>
        <w:pStyle w:val="BodyText"/>
        <w:numPr>
          <w:ilvl w:val="0"/>
          <w:numId w:val="29"/>
        </w:numPr>
        <w:spacing w:after="120"/>
        <w:ind w:right="227"/>
      </w:pPr>
      <w:r w:rsidRPr="00A2779B">
        <w:t>WA Local Government Grants Commission (Chair)</w:t>
      </w:r>
    </w:p>
    <w:p w:rsidR="009C0FF5" w:rsidRPr="00A2779B" w:rsidRDefault="009C0FF5" w:rsidP="009C0FF5">
      <w:pPr>
        <w:pStyle w:val="BodyText"/>
        <w:numPr>
          <w:ilvl w:val="0"/>
          <w:numId w:val="29"/>
        </w:numPr>
        <w:spacing w:after="120"/>
        <w:ind w:right="227"/>
      </w:pPr>
      <w:r w:rsidRPr="00A2779B">
        <w:t>Western Australian Local Government Association</w:t>
      </w:r>
    </w:p>
    <w:p w:rsidR="009C0FF5" w:rsidRPr="00A2779B" w:rsidRDefault="009C0FF5" w:rsidP="009C0FF5">
      <w:pPr>
        <w:pStyle w:val="BodyText"/>
        <w:numPr>
          <w:ilvl w:val="0"/>
          <w:numId w:val="29"/>
        </w:numPr>
        <w:spacing w:after="120"/>
        <w:ind w:right="227"/>
      </w:pPr>
      <w:r w:rsidRPr="00A2779B">
        <w:t>Main Roads Western Australia</w:t>
      </w:r>
    </w:p>
    <w:p w:rsidR="009C0FF5" w:rsidRPr="00A2779B" w:rsidRDefault="009C0FF5" w:rsidP="009C0FF5">
      <w:pPr>
        <w:pStyle w:val="BodyText"/>
        <w:numPr>
          <w:ilvl w:val="0"/>
          <w:numId w:val="29"/>
        </w:numPr>
        <w:spacing w:after="120"/>
        <w:ind w:right="227"/>
      </w:pPr>
      <w:r w:rsidRPr="00A2779B">
        <w:t>Department of Aboriginal Affairs</w:t>
      </w:r>
    </w:p>
    <w:p w:rsidR="009C0FF5" w:rsidRPr="00A2779B" w:rsidRDefault="009C0FF5" w:rsidP="009C0FF5">
      <w:pPr>
        <w:pStyle w:val="BodyText"/>
        <w:numPr>
          <w:ilvl w:val="0"/>
          <w:numId w:val="29"/>
        </w:numPr>
        <w:spacing w:after="120"/>
        <w:ind w:right="227"/>
      </w:pPr>
      <w:r w:rsidRPr="00A2779B">
        <w:t>Department of the Prime Minister and Cabinet</w:t>
      </w:r>
    </w:p>
    <w:p w:rsidR="009C0FF5" w:rsidRPr="00A2779B" w:rsidRDefault="009C0FF5" w:rsidP="009C0FF5">
      <w:pPr>
        <w:pStyle w:val="List-BulletDLGClast"/>
        <w:rPr>
          <w:color w:val="3C3C3C"/>
        </w:rPr>
      </w:pPr>
      <w:r w:rsidRPr="00A2779B">
        <w:rPr>
          <w:color w:val="3C3C3C"/>
        </w:rPr>
        <w:t>Department of Local Government and Communities.</w:t>
      </w:r>
    </w:p>
    <w:p w:rsidR="00BD5CA9" w:rsidRDefault="009C0FF5" w:rsidP="009C0FF5">
      <w:pPr>
        <w:pStyle w:val="BodyText"/>
      </w:pPr>
      <w:r>
        <w:t xml:space="preserve">The committee has established funding criteria based on factors including the number of </w:t>
      </w:r>
      <w:r w:rsidR="00AC19FC">
        <w:t>A</w:t>
      </w:r>
      <w:r w:rsidR="00912F83">
        <w:t>boriginal</w:t>
      </w:r>
      <w:r>
        <w:t xml:space="preserve"> people serviced by a road, the distance of a community from a sealed road, the condition of the road, the proportion of traffic servicing </w:t>
      </w:r>
      <w:r w:rsidR="00446B7F">
        <w:t>A</w:t>
      </w:r>
      <w:r w:rsidR="00912F83">
        <w:t>boriginal</w:t>
      </w:r>
      <w:r>
        <w:t xml:space="preserve"> communities and the availability of alternative access. These criteria have provided a rational method of assessing priorities in developing a five year program.</w:t>
      </w:r>
    </w:p>
    <w:p w:rsidR="00BD5CA9" w:rsidRDefault="00BD5CA9">
      <w:pPr>
        <w:spacing w:line="276" w:lineRule="auto"/>
        <w:rPr>
          <w:color w:val="3C3C3C"/>
        </w:rPr>
      </w:pPr>
      <w:r>
        <w:br w:type="page"/>
      </w:r>
    </w:p>
    <w:p w:rsidR="00BD5CA9" w:rsidRPr="001B0B85" w:rsidRDefault="00BD5CA9" w:rsidP="00BD5CA9">
      <w:pPr>
        <w:pStyle w:val="Caption"/>
      </w:pPr>
      <w:r w:rsidRPr="001B0B85">
        <w:lastRenderedPageBreak/>
        <w:t>Table 4: Aboriginal Access Roads Grants</w:t>
      </w:r>
    </w:p>
    <w:tbl>
      <w:tblPr>
        <w:tblStyle w:val="Table-DeepSea"/>
        <w:tblW w:w="9414" w:type="dxa"/>
        <w:tblInd w:w="-5" w:type="dxa"/>
        <w:tblBorders>
          <w:top w:val="single" w:sz="4" w:space="0" w:color="A6AEB6"/>
          <w:left w:val="single" w:sz="4" w:space="0" w:color="A6AEB6"/>
          <w:bottom w:val="single" w:sz="4" w:space="0" w:color="A6AEB6"/>
          <w:right w:val="single" w:sz="4" w:space="0" w:color="A6AEB6"/>
          <w:insideH w:val="single" w:sz="4" w:space="0" w:color="A6AEB6"/>
          <w:insideV w:val="single" w:sz="4" w:space="0" w:color="A6AEB6"/>
        </w:tblBorders>
        <w:tblLook w:val="04A0" w:firstRow="1" w:lastRow="0" w:firstColumn="1" w:lastColumn="0" w:noHBand="0" w:noVBand="1"/>
        <w:tblCaption w:val="Aboriginal Access Roads Grants"/>
        <w:tblDescription w:val="Indigenous Road and allocation"/>
      </w:tblPr>
      <w:tblGrid>
        <w:gridCol w:w="3021"/>
        <w:gridCol w:w="3802"/>
        <w:gridCol w:w="2591"/>
      </w:tblGrid>
      <w:tr w:rsidR="009F180F" w:rsidRPr="009F180F" w:rsidTr="00833DAB">
        <w:trPr>
          <w:cnfStyle w:val="100000000000" w:firstRow="1" w:lastRow="0" w:firstColumn="0" w:lastColumn="0" w:oddVBand="0" w:evenVBand="0" w:oddHBand="0" w:evenHBand="0" w:firstRowFirstColumn="0" w:firstRowLastColumn="0" w:lastRowFirstColumn="0" w:lastRowLastColumn="0"/>
          <w:trHeight w:val="334"/>
          <w:tblHeader/>
        </w:trPr>
        <w:tc>
          <w:tcPr>
            <w:tcW w:w="3021" w:type="dxa"/>
          </w:tcPr>
          <w:p w:rsidR="009F180F" w:rsidRPr="009F180F" w:rsidRDefault="009F180F" w:rsidP="009F180F">
            <w:pPr>
              <w:pStyle w:val="Table-Header"/>
              <w:spacing w:before="40" w:after="40"/>
              <w:rPr>
                <w:rStyle w:val="Table-Header-unbold"/>
                <w:b/>
              </w:rPr>
            </w:pPr>
            <w:r w:rsidRPr="009F180F">
              <w:rPr>
                <w:rStyle w:val="Table-Header-unbold"/>
                <w:b/>
              </w:rPr>
              <w:t>Local Government</w:t>
            </w:r>
          </w:p>
        </w:tc>
        <w:tc>
          <w:tcPr>
            <w:tcW w:w="3802" w:type="dxa"/>
            <w:noWrap/>
            <w:hideMark/>
          </w:tcPr>
          <w:p w:rsidR="009F180F" w:rsidRPr="00FB3435" w:rsidRDefault="009F180F" w:rsidP="009F180F">
            <w:pPr>
              <w:pStyle w:val="Table-Header"/>
              <w:spacing w:before="40" w:after="40"/>
              <w:rPr>
                <w:rStyle w:val="Table-Header-unbold"/>
                <w:b/>
              </w:rPr>
            </w:pPr>
            <w:r w:rsidRPr="00FB3435">
              <w:rPr>
                <w:rStyle w:val="Table-Header-unbold"/>
                <w:b/>
              </w:rPr>
              <w:t>Road</w:t>
            </w:r>
          </w:p>
        </w:tc>
        <w:tc>
          <w:tcPr>
            <w:tcW w:w="2591" w:type="dxa"/>
            <w:noWrap/>
            <w:hideMark/>
          </w:tcPr>
          <w:p w:rsidR="009F180F" w:rsidRPr="009F180F" w:rsidRDefault="009F180F" w:rsidP="009F180F">
            <w:pPr>
              <w:pStyle w:val="Table-Header"/>
              <w:spacing w:before="40" w:after="40"/>
              <w:rPr>
                <w:rStyle w:val="Table-Header-unbold"/>
                <w:b/>
              </w:rPr>
            </w:pPr>
            <w:r w:rsidRPr="009F180F">
              <w:rPr>
                <w:rStyle w:val="Table-Header-unbold"/>
                <w:b/>
              </w:rPr>
              <w:t>2015-16 Allocations</w:t>
            </w:r>
          </w:p>
        </w:tc>
      </w:tr>
      <w:tr w:rsidR="005C1BF6" w:rsidRPr="009F180F" w:rsidTr="00256942">
        <w:trPr>
          <w:trHeight w:val="314"/>
        </w:trPr>
        <w:tc>
          <w:tcPr>
            <w:tcW w:w="3021" w:type="dxa"/>
          </w:tcPr>
          <w:p w:rsidR="005C1BF6" w:rsidRPr="00256942" w:rsidRDefault="005C1BF6" w:rsidP="005C1BF6">
            <w:pPr>
              <w:pStyle w:val="tabletext"/>
              <w:spacing w:before="40" w:after="40"/>
              <w:rPr>
                <w:b/>
              </w:rPr>
            </w:pPr>
            <w:r w:rsidRPr="00256942">
              <w:rPr>
                <w:b/>
              </w:rPr>
              <w:t>Ashburton</w:t>
            </w:r>
          </w:p>
        </w:tc>
        <w:tc>
          <w:tcPr>
            <w:tcW w:w="3802" w:type="dxa"/>
            <w:noWrap/>
          </w:tcPr>
          <w:p w:rsidR="005C1BF6" w:rsidRPr="00AF73BC" w:rsidRDefault="005C1BF6" w:rsidP="005C1BF6">
            <w:proofErr w:type="spellStart"/>
            <w:r w:rsidRPr="00AF73BC">
              <w:t>Ngurrawanna</w:t>
            </w:r>
            <w:proofErr w:type="spellEnd"/>
          </w:p>
        </w:tc>
        <w:tc>
          <w:tcPr>
            <w:tcW w:w="2591" w:type="dxa"/>
            <w:noWrap/>
          </w:tcPr>
          <w:p w:rsidR="005C1BF6" w:rsidRDefault="005C1BF6" w:rsidP="00256942">
            <w:pPr>
              <w:jc w:val="right"/>
            </w:pPr>
            <w:r w:rsidRPr="00AF73BC">
              <w:t>$8,000</w:t>
            </w:r>
          </w:p>
        </w:tc>
      </w:tr>
      <w:tr w:rsidR="005C1BF6" w:rsidRPr="009F180F" w:rsidTr="00256942">
        <w:trPr>
          <w:trHeight w:val="314"/>
        </w:trPr>
        <w:tc>
          <w:tcPr>
            <w:tcW w:w="3021" w:type="dxa"/>
            <w:shd w:val="clear" w:color="auto" w:fill="F2F2F2" w:themeFill="background1" w:themeFillShade="F2"/>
          </w:tcPr>
          <w:p w:rsidR="005C1BF6" w:rsidRPr="00256942" w:rsidRDefault="005C1BF6" w:rsidP="005C1BF6">
            <w:pPr>
              <w:rPr>
                <w:b/>
                <w:color w:val="000000" w:themeColor="text1"/>
              </w:rPr>
            </w:pPr>
            <w:r w:rsidRPr="00256942">
              <w:rPr>
                <w:b/>
                <w:color w:val="000000" w:themeColor="text1"/>
              </w:rPr>
              <w:t>Broome</w:t>
            </w:r>
          </w:p>
        </w:tc>
        <w:tc>
          <w:tcPr>
            <w:tcW w:w="3802" w:type="dxa"/>
            <w:shd w:val="clear" w:color="auto" w:fill="F2F2F2" w:themeFill="background1" w:themeFillShade="F2"/>
            <w:noWrap/>
          </w:tcPr>
          <w:p w:rsidR="005C1BF6" w:rsidRPr="00256942" w:rsidRDefault="005C1BF6" w:rsidP="005C1BF6">
            <w:pPr>
              <w:rPr>
                <w:color w:val="000000" w:themeColor="text1"/>
              </w:rPr>
            </w:pPr>
            <w:r w:rsidRPr="00256942">
              <w:rPr>
                <w:color w:val="000000" w:themeColor="text1"/>
              </w:rPr>
              <w:t>Cape Leveque [unsealed section]</w:t>
            </w:r>
          </w:p>
        </w:tc>
        <w:tc>
          <w:tcPr>
            <w:tcW w:w="2591" w:type="dxa"/>
            <w:shd w:val="clear" w:color="auto" w:fill="F2F2F2" w:themeFill="background1" w:themeFillShade="F2"/>
            <w:noWrap/>
          </w:tcPr>
          <w:p w:rsidR="005C1BF6" w:rsidRPr="00256942" w:rsidRDefault="005C1BF6" w:rsidP="00256942">
            <w:pPr>
              <w:jc w:val="right"/>
              <w:rPr>
                <w:color w:val="000000" w:themeColor="text1"/>
              </w:rPr>
            </w:pPr>
            <w:r w:rsidRPr="00256942">
              <w:rPr>
                <w:color w:val="000000" w:themeColor="text1"/>
              </w:rPr>
              <w:t>$88,000</w:t>
            </w:r>
          </w:p>
        </w:tc>
      </w:tr>
      <w:tr w:rsidR="009F180F" w:rsidRPr="009F180F" w:rsidTr="00256942">
        <w:trPr>
          <w:trHeight w:val="314"/>
        </w:trPr>
        <w:tc>
          <w:tcPr>
            <w:tcW w:w="3021" w:type="dxa"/>
            <w:vMerge w:val="restart"/>
          </w:tcPr>
          <w:p w:rsidR="009F180F" w:rsidRPr="00256942" w:rsidRDefault="009F180F" w:rsidP="009F180F">
            <w:pPr>
              <w:pStyle w:val="tabletext"/>
              <w:spacing w:before="40" w:after="40"/>
              <w:rPr>
                <w:b/>
                <w:color w:val="000000" w:themeColor="text1"/>
              </w:rPr>
            </w:pPr>
            <w:r w:rsidRPr="00256942">
              <w:rPr>
                <w:b/>
                <w:color w:val="000000" w:themeColor="text1"/>
              </w:rPr>
              <w:t>Derby West Kimberley</w:t>
            </w:r>
          </w:p>
        </w:tc>
        <w:tc>
          <w:tcPr>
            <w:tcW w:w="3802" w:type="dxa"/>
            <w:noWrap/>
          </w:tcPr>
          <w:p w:rsidR="009F180F" w:rsidRPr="00256942" w:rsidRDefault="009F180F" w:rsidP="009F180F">
            <w:pPr>
              <w:pStyle w:val="tabletext"/>
              <w:spacing w:before="40" w:after="40"/>
              <w:rPr>
                <w:color w:val="000000" w:themeColor="text1"/>
              </w:rPr>
            </w:pPr>
            <w:r w:rsidRPr="00256942">
              <w:rPr>
                <w:color w:val="000000" w:themeColor="text1"/>
              </w:rPr>
              <w:t xml:space="preserve">Noonkanbah </w:t>
            </w:r>
            <w:proofErr w:type="spellStart"/>
            <w:r w:rsidRPr="00256942">
              <w:rPr>
                <w:color w:val="000000" w:themeColor="text1"/>
              </w:rPr>
              <w:t>Millijiddee</w:t>
            </w:r>
            <w:proofErr w:type="spellEnd"/>
          </w:p>
        </w:tc>
        <w:tc>
          <w:tcPr>
            <w:tcW w:w="2591" w:type="dxa"/>
            <w:noWrap/>
          </w:tcPr>
          <w:p w:rsidR="009F180F" w:rsidRPr="00256942" w:rsidRDefault="009F180F" w:rsidP="00256942">
            <w:pPr>
              <w:pStyle w:val="tabletext"/>
              <w:spacing w:before="40" w:after="40"/>
              <w:jc w:val="right"/>
              <w:rPr>
                <w:color w:val="000000" w:themeColor="text1"/>
              </w:rPr>
            </w:pPr>
            <w:r w:rsidRPr="00256942">
              <w:rPr>
                <w:color w:val="000000" w:themeColor="text1"/>
              </w:rPr>
              <w:t>$138,000</w:t>
            </w:r>
          </w:p>
        </w:tc>
      </w:tr>
      <w:tr w:rsidR="009F180F" w:rsidRPr="009F180F" w:rsidTr="00256942">
        <w:trPr>
          <w:trHeight w:val="314"/>
        </w:trPr>
        <w:tc>
          <w:tcPr>
            <w:tcW w:w="3021" w:type="dxa"/>
            <w:vMerge/>
          </w:tcPr>
          <w:p w:rsidR="009F180F" w:rsidRPr="00256942" w:rsidRDefault="009F180F" w:rsidP="009F180F">
            <w:pPr>
              <w:pStyle w:val="tabletext"/>
              <w:spacing w:before="40" w:after="40"/>
              <w:rPr>
                <w:b/>
                <w:color w:val="000000" w:themeColor="text1"/>
              </w:rPr>
            </w:pPr>
          </w:p>
        </w:tc>
        <w:tc>
          <w:tcPr>
            <w:tcW w:w="3802" w:type="dxa"/>
            <w:noWrap/>
          </w:tcPr>
          <w:p w:rsidR="009F180F" w:rsidRPr="00256942" w:rsidRDefault="009F180F" w:rsidP="009F180F">
            <w:pPr>
              <w:pStyle w:val="tabletext"/>
              <w:spacing w:before="40" w:after="40"/>
              <w:rPr>
                <w:color w:val="000000" w:themeColor="text1"/>
              </w:rPr>
            </w:pPr>
            <w:r w:rsidRPr="00256942">
              <w:rPr>
                <w:color w:val="000000" w:themeColor="text1"/>
              </w:rPr>
              <w:t>Mount Anderson</w:t>
            </w:r>
          </w:p>
        </w:tc>
        <w:tc>
          <w:tcPr>
            <w:tcW w:w="2591" w:type="dxa"/>
            <w:noWrap/>
          </w:tcPr>
          <w:p w:rsidR="009F180F" w:rsidRPr="00256942" w:rsidRDefault="009F180F" w:rsidP="00256942">
            <w:pPr>
              <w:pStyle w:val="tabletext"/>
              <w:spacing w:before="40" w:after="40"/>
              <w:jc w:val="right"/>
              <w:rPr>
                <w:color w:val="000000" w:themeColor="text1"/>
              </w:rPr>
            </w:pPr>
            <w:r w:rsidRPr="00256942">
              <w:rPr>
                <w:color w:val="000000" w:themeColor="text1"/>
              </w:rPr>
              <w:t>$80,000</w:t>
            </w:r>
          </w:p>
        </w:tc>
      </w:tr>
      <w:tr w:rsidR="00256942" w:rsidRPr="009F180F" w:rsidTr="00256942">
        <w:trPr>
          <w:trHeight w:val="314"/>
        </w:trPr>
        <w:tc>
          <w:tcPr>
            <w:tcW w:w="3021" w:type="dxa"/>
            <w:vMerge w:val="restart"/>
            <w:shd w:val="clear" w:color="auto" w:fill="F2F2F2" w:themeFill="background1" w:themeFillShade="F2"/>
          </w:tcPr>
          <w:p w:rsidR="00256942" w:rsidRPr="00256942" w:rsidRDefault="00256942" w:rsidP="005C1BF6">
            <w:pPr>
              <w:rPr>
                <w:b/>
                <w:color w:val="000000" w:themeColor="text1"/>
              </w:rPr>
            </w:pPr>
            <w:r w:rsidRPr="00256942">
              <w:rPr>
                <w:b/>
                <w:color w:val="000000" w:themeColor="text1"/>
              </w:rPr>
              <w:t>East Pilbara</w:t>
            </w:r>
          </w:p>
        </w:tc>
        <w:tc>
          <w:tcPr>
            <w:tcW w:w="3802" w:type="dxa"/>
            <w:shd w:val="clear" w:color="auto" w:fill="F2F2F2" w:themeFill="background1" w:themeFillShade="F2"/>
            <w:noWrap/>
          </w:tcPr>
          <w:p w:rsidR="00256942" w:rsidRPr="00256942" w:rsidRDefault="00256942" w:rsidP="005C1BF6">
            <w:pPr>
              <w:rPr>
                <w:color w:val="000000" w:themeColor="text1"/>
              </w:rPr>
            </w:pPr>
            <w:proofErr w:type="spellStart"/>
            <w:r w:rsidRPr="00256942">
              <w:rPr>
                <w:color w:val="000000" w:themeColor="text1"/>
              </w:rPr>
              <w:t>Punmu</w:t>
            </w:r>
            <w:proofErr w:type="spellEnd"/>
          </w:p>
        </w:tc>
        <w:tc>
          <w:tcPr>
            <w:tcW w:w="2591" w:type="dxa"/>
            <w:shd w:val="clear" w:color="auto" w:fill="F2F2F2" w:themeFill="background1" w:themeFillShade="F2"/>
            <w:noWrap/>
          </w:tcPr>
          <w:p w:rsidR="00256942" w:rsidRPr="00256942" w:rsidRDefault="00256942" w:rsidP="00256942">
            <w:pPr>
              <w:jc w:val="right"/>
              <w:rPr>
                <w:color w:val="000000" w:themeColor="text1"/>
              </w:rPr>
            </w:pPr>
            <w:r w:rsidRPr="00256942">
              <w:rPr>
                <w:color w:val="000000" w:themeColor="text1"/>
              </w:rPr>
              <w:t>$100,000</w:t>
            </w:r>
          </w:p>
        </w:tc>
      </w:tr>
      <w:tr w:rsidR="00256942" w:rsidRPr="009F180F" w:rsidTr="00256942">
        <w:trPr>
          <w:trHeight w:val="314"/>
        </w:trPr>
        <w:tc>
          <w:tcPr>
            <w:tcW w:w="3021" w:type="dxa"/>
            <w:vMerge/>
            <w:shd w:val="clear" w:color="auto" w:fill="F2F2F2" w:themeFill="background1" w:themeFillShade="F2"/>
          </w:tcPr>
          <w:p w:rsidR="00256942" w:rsidRPr="00256942" w:rsidRDefault="00256942" w:rsidP="005C1BF6">
            <w:pPr>
              <w:rPr>
                <w:b/>
                <w:color w:val="000000" w:themeColor="text1"/>
              </w:rPr>
            </w:pPr>
          </w:p>
        </w:tc>
        <w:tc>
          <w:tcPr>
            <w:tcW w:w="3802" w:type="dxa"/>
            <w:shd w:val="clear" w:color="auto" w:fill="F2F2F2" w:themeFill="background1" w:themeFillShade="F2"/>
            <w:noWrap/>
          </w:tcPr>
          <w:p w:rsidR="00256942" w:rsidRPr="00256942" w:rsidRDefault="00256942" w:rsidP="005C1BF6">
            <w:pPr>
              <w:rPr>
                <w:color w:val="000000" w:themeColor="text1"/>
              </w:rPr>
            </w:pPr>
            <w:proofErr w:type="spellStart"/>
            <w:r w:rsidRPr="00256942">
              <w:rPr>
                <w:color w:val="000000" w:themeColor="text1"/>
              </w:rPr>
              <w:t>Kiwirrkurra</w:t>
            </w:r>
            <w:proofErr w:type="spellEnd"/>
          </w:p>
        </w:tc>
        <w:tc>
          <w:tcPr>
            <w:tcW w:w="2591" w:type="dxa"/>
            <w:shd w:val="clear" w:color="auto" w:fill="F2F2F2" w:themeFill="background1" w:themeFillShade="F2"/>
            <w:noWrap/>
          </w:tcPr>
          <w:p w:rsidR="00256942" w:rsidRPr="00256942" w:rsidRDefault="00256942" w:rsidP="00256942">
            <w:pPr>
              <w:jc w:val="right"/>
              <w:rPr>
                <w:color w:val="000000" w:themeColor="text1"/>
              </w:rPr>
            </w:pPr>
            <w:r w:rsidRPr="00256942">
              <w:rPr>
                <w:color w:val="000000" w:themeColor="text1"/>
              </w:rPr>
              <w:t>$100,000</w:t>
            </w:r>
          </w:p>
        </w:tc>
      </w:tr>
      <w:tr w:rsidR="00256942" w:rsidRPr="009F180F" w:rsidTr="00256942">
        <w:trPr>
          <w:trHeight w:val="314"/>
        </w:trPr>
        <w:tc>
          <w:tcPr>
            <w:tcW w:w="3021" w:type="dxa"/>
            <w:vMerge/>
            <w:shd w:val="clear" w:color="auto" w:fill="F2F2F2" w:themeFill="background1" w:themeFillShade="F2"/>
          </w:tcPr>
          <w:p w:rsidR="00256942" w:rsidRPr="00256942" w:rsidRDefault="00256942" w:rsidP="005C1BF6">
            <w:pPr>
              <w:rPr>
                <w:b/>
                <w:color w:val="000000" w:themeColor="text1"/>
              </w:rPr>
            </w:pPr>
          </w:p>
        </w:tc>
        <w:tc>
          <w:tcPr>
            <w:tcW w:w="3802" w:type="dxa"/>
            <w:shd w:val="clear" w:color="auto" w:fill="F2F2F2" w:themeFill="background1" w:themeFillShade="F2"/>
            <w:noWrap/>
          </w:tcPr>
          <w:p w:rsidR="00256942" w:rsidRPr="00256942" w:rsidRDefault="00256942" w:rsidP="005C1BF6">
            <w:pPr>
              <w:rPr>
                <w:color w:val="000000" w:themeColor="text1"/>
              </w:rPr>
            </w:pPr>
            <w:proofErr w:type="spellStart"/>
            <w:r w:rsidRPr="00256942">
              <w:rPr>
                <w:color w:val="000000" w:themeColor="text1"/>
              </w:rPr>
              <w:t>Talawana</w:t>
            </w:r>
            <w:proofErr w:type="spellEnd"/>
            <w:r w:rsidRPr="00256942">
              <w:rPr>
                <w:color w:val="000000" w:themeColor="text1"/>
              </w:rPr>
              <w:t xml:space="preserve"> Track</w:t>
            </w:r>
          </w:p>
        </w:tc>
        <w:tc>
          <w:tcPr>
            <w:tcW w:w="2591" w:type="dxa"/>
            <w:shd w:val="clear" w:color="auto" w:fill="F2F2F2" w:themeFill="background1" w:themeFillShade="F2"/>
            <w:noWrap/>
          </w:tcPr>
          <w:p w:rsidR="00256942" w:rsidRPr="00256942" w:rsidRDefault="00256942" w:rsidP="00256942">
            <w:pPr>
              <w:jc w:val="right"/>
              <w:rPr>
                <w:color w:val="000000" w:themeColor="text1"/>
              </w:rPr>
            </w:pPr>
            <w:r w:rsidRPr="00256942">
              <w:rPr>
                <w:color w:val="000000" w:themeColor="text1"/>
              </w:rPr>
              <w:t>$110,000</w:t>
            </w:r>
          </w:p>
        </w:tc>
      </w:tr>
      <w:tr w:rsidR="00256942" w:rsidRPr="009F180F" w:rsidTr="00256942">
        <w:trPr>
          <w:trHeight w:val="314"/>
        </w:trPr>
        <w:tc>
          <w:tcPr>
            <w:tcW w:w="3021" w:type="dxa"/>
            <w:vMerge/>
            <w:shd w:val="clear" w:color="auto" w:fill="F2F2F2" w:themeFill="background1" w:themeFillShade="F2"/>
          </w:tcPr>
          <w:p w:rsidR="00256942" w:rsidRPr="00256942" w:rsidRDefault="00256942" w:rsidP="005C1BF6">
            <w:pPr>
              <w:rPr>
                <w:b/>
                <w:color w:val="000000" w:themeColor="text1"/>
              </w:rPr>
            </w:pPr>
          </w:p>
        </w:tc>
        <w:tc>
          <w:tcPr>
            <w:tcW w:w="3802" w:type="dxa"/>
            <w:shd w:val="clear" w:color="auto" w:fill="F2F2F2" w:themeFill="background1" w:themeFillShade="F2"/>
            <w:noWrap/>
          </w:tcPr>
          <w:p w:rsidR="00256942" w:rsidRPr="00256942" w:rsidRDefault="00256942" w:rsidP="005C1BF6">
            <w:pPr>
              <w:rPr>
                <w:color w:val="000000" w:themeColor="text1"/>
              </w:rPr>
            </w:pPr>
            <w:proofErr w:type="spellStart"/>
            <w:r w:rsidRPr="00256942">
              <w:rPr>
                <w:color w:val="000000" w:themeColor="text1"/>
              </w:rPr>
              <w:t>Jigalong</w:t>
            </w:r>
            <w:proofErr w:type="spellEnd"/>
          </w:p>
        </w:tc>
        <w:tc>
          <w:tcPr>
            <w:tcW w:w="2591" w:type="dxa"/>
            <w:shd w:val="clear" w:color="auto" w:fill="F2F2F2" w:themeFill="background1" w:themeFillShade="F2"/>
            <w:noWrap/>
          </w:tcPr>
          <w:p w:rsidR="00256942" w:rsidRPr="00256942" w:rsidRDefault="00256942" w:rsidP="00256942">
            <w:pPr>
              <w:jc w:val="right"/>
              <w:rPr>
                <w:color w:val="000000" w:themeColor="text1"/>
              </w:rPr>
            </w:pPr>
            <w:r w:rsidRPr="00256942">
              <w:rPr>
                <w:color w:val="000000" w:themeColor="text1"/>
              </w:rPr>
              <w:t>$70,000</w:t>
            </w:r>
          </w:p>
        </w:tc>
      </w:tr>
      <w:tr w:rsidR="00256942" w:rsidRPr="009F180F" w:rsidTr="00256942">
        <w:trPr>
          <w:trHeight w:val="314"/>
        </w:trPr>
        <w:tc>
          <w:tcPr>
            <w:tcW w:w="3021" w:type="dxa"/>
            <w:vMerge/>
            <w:shd w:val="clear" w:color="auto" w:fill="F2F2F2" w:themeFill="background1" w:themeFillShade="F2"/>
          </w:tcPr>
          <w:p w:rsidR="00256942" w:rsidRPr="00256942" w:rsidRDefault="00256942" w:rsidP="005C1BF6">
            <w:pPr>
              <w:rPr>
                <w:b/>
                <w:color w:val="000000" w:themeColor="text1"/>
              </w:rPr>
            </w:pPr>
          </w:p>
        </w:tc>
        <w:tc>
          <w:tcPr>
            <w:tcW w:w="3802" w:type="dxa"/>
            <w:shd w:val="clear" w:color="auto" w:fill="F2F2F2" w:themeFill="background1" w:themeFillShade="F2"/>
            <w:noWrap/>
          </w:tcPr>
          <w:p w:rsidR="00256942" w:rsidRPr="00256942" w:rsidRDefault="00256942" w:rsidP="005C1BF6">
            <w:pPr>
              <w:rPr>
                <w:color w:val="000000" w:themeColor="text1"/>
              </w:rPr>
            </w:pPr>
            <w:r w:rsidRPr="00256942">
              <w:rPr>
                <w:color w:val="000000" w:themeColor="text1"/>
              </w:rPr>
              <w:t>Desert Road</w:t>
            </w:r>
          </w:p>
        </w:tc>
        <w:tc>
          <w:tcPr>
            <w:tcW w:w="2591" w:type="dxa"/>
            <w:shd w:val="clear" w:color="auto" w:fill="F2F2F2" w:themeFill="background1" w:themeFillShade="F2"/>
            <w:noWrap/>
          </w:tcPr>
          <w:p w:rsidR="00256942" w:rsidRPr="00256942" w:rsidRDefault="00256942" w:rsidP="00256942">
            <w:pPr>
              <w:jc w:val="right"/>
              <w:rPr>
                <w:color w:val="000000" w:themeColor="text1"/>
              </w:rPr>
            </w:pPr>
            <w:r w:rsidRPr="00256942">
              <w:rPr>
                <w:color w:val="000000" w:themeColor="text1"/>
              </w:rPr>
              <w:t>$166,000</w:t>
            </w:r>
          </w:p>
        </w:tc>
      </w:tr>
      <w:tr w:rsidR="00256942" w:rsidRPr="009F180F" w:rsidTr="00256942">
        <w:trPr>
          <w:trHeight w:val="314"/>
        </w:trPr>
        <w:tc>
          <w:tcPr>
            <w:tcW w:w="3021" w:type="dxa"/>
            <w:vMerge/>
            <w:shd w:val="clear" w:color="auto" w:fill="F2F2F2" w:themeFill="background1" w:themeFillShade="F2"/>
          </w:tcPr>
          <w:p w:rsidR="00256942" w:rsidRPr="00256942" w:rsidRDefault="00256942" w:rsidP="005C1BF6">
            <w:pPr>
              <w:rPr>
                <w:b/>
                <w:color w:val="000000" w:themeColor="text1"/>
              </w:rPr>
            </w:pPr>
          </w:p>
        </w:tc>
        <w:tc>
          <w:tcPr>
            <w:tcW w:w="3802" w:type="dxa"/>
            <w:shd w:val="clear" w:color="auto" w:fill="F2F2F2" w:themeFill="background1" w:themeFillShade="F2"/>
            <w:noWrap/>
          </w:tcPr>
          <w:p w:rsidR="00256942" w:rsidRPr="00256942" w:rsidRDefault="00256942" w:rsidP="005C1BF6">
            <w:pPr>
              <w:rPr>
                <w:color w:val="000000" w:themeColor="text1"/>
              </w:rPr>
            </w:pPr>
            <w:r w:rsidRPr="00256942">
              <w:rPr>
                <w:color w:val="000000" w:themeColor="text1"/>
              </w:rPr>
              <w:t>Jupiter Well</w:t>
            </w:r>
          </w:p>
        </w:tc>
        <w:tc>
          <w:tcPr>
            <w:tcW w:w="2591" w:type="dxa"/>
            <w:shd w:val="clear" w:color="auto" w:fill="F2F2F2" w:themeFill="background1" w:themeFillShade="F2"/>
            <w:noWrap/>
          </w:tcPr>
          <w:p w:rsidR="00256942" w:rsidRPr="00256942" w:rsidRDefault="00256942" w:rsidP="00256942">
            <w:pPr>
              <w:jc w:val="right"/>
              <w:rPr>
                <w:color w:val="000000" w:themeColor="text1"/>
              </w:rPr>
            </w:pPr>
            <w:r w:rsidRPr="00256942">
              <w:rPr>
                <w:color w:val="000000" w:themeColor="text1"/>
              </w:rPr>
              <w:t>$50,000</w:t>
            </w:r>
          </w:p>
        </w:tc>
      </w:tr>
      <w:tr w:rsidR="00256942" w:rsidRPr="009F180F" w:rsidTr="00256942">
        <w:trPr>
          <w:trHeight w:val="314"/>
        </w:trPr>
        <w:tc>
          <w:tcPr>
            <w:tcW w:w="3021" w:type="dxa"/>
            <w:vMerge w:val="restart"/>
          </w:tcPr>
          <w:p w:rsidR="00256942" w:rsidRPr="00256942" w:rsidRDefault="00256942" w:rsidP="005C1BF6">
            <w:pPr>
              <w:rPr>
                <w:b/>
                <w:color w:val="000000" w:themeColor="text1"/>
              </w:rPr>
            </w:pPr>
            <w:r w:rsidRPr="00256942">
              <w:rPr>
                <w:b/>
                <w:color w:val="000000" w:themeColor="text1"/>
              </w:rPr>
              <w:t>Halls Creek</w:t>
            </w:r>
          </w:p>
        </w:tc>
        <w:tc>
          <w:tcPr>
            <w:tcW w:w="3802" w:type="dxa"/>
            <w:noWrap/>
          </w:tcPr>
          <w:p w:rsidR="00256942" w:rsidRPr="00256942" w:rsidRDefault="00256942" w:rsidP="005C1BF6">
            <w:pPr>
              <w:rPr>
                <w:color w:val="000000" w:themeColor="text1"/>
              </w:rPr>
            </w:pPr>
            <w:r w:rsidRPr="00256942">
              <w:rPr>
                <w:color w:val="000000" w:themeColor="text1"/>
              </w:rPr>
              <w:t>Tanami</w:t>
            </w:r>
          </w:p>
        </w:tc>
        <w:tc>
          <w:tcPr>
            <w:tcW w:w="2591" w:type="dxa"/>
            <w:noWrap/>
          </w:tcPr>
          <w:p w:rsidR="00256942" w:rsidRPr="00256942" w:rsidRDefault="00256942" w:rsidP="00256942">
            <w:pPr>
              <w:jc w:val="right"/>
              <w:rPr>
                <w:color w:val="000000" w:themeColor="text1"/>
              </w:rPr>
            </w:pPr>
            <w:r w:rsidRPr="00256942">
              <w:rPr>
                <w:color w:val="000000" w:themeColor="text1"/>
              </w:rPr>
              <w:t>$162,000</w:t>
            </w:r>
          </w:p>
        </w:tc>
      </w:tr>
      <w:tr w:rsidR="00256942" w:rsidRPr="009F180F" w:rsidTr="00256942">
        <w:trPr>
          <w:trHeight w:val="314"/>
        </w:trPr>
        <w:tc>
          <w:tcPr>
            <w:tcW w:w="3021" w:type="dxa"/>
            <w:vMerge/>
          </w:tcPr>
          <w:p w:rsidR="00256942" w:rsidRPr="00256942" w:rsidRDefault="00256942" w:rsidP="005C1BF6">
            <w:pPr>
              <w:rPr>
                <w:b/>
                <w:color w:val="000000" w:themeColor="text1"/>
              </w:rPr>
            </w:pPr>
          </w:p>
        </w:tc>
        <w:tc>
          <w:tcPr>
            <w:tcW w:w="3802" w:type="dxa"/>
            <w:noWrap/>
          </w:tcPr>
          <w:p w:rsidR="00256942" w:rsidRPr="00256942" w:rsidRDefault="00256942" w:rsidP="005C1BF6">
            <w:pPr>
              <w:rPr>
                <w:color w:val="000000" w:themeColor="text1"/>
              </w:rPr>
            </w:pPr>
            <w:r w:rsidRPr="00256942">
              <w:rPr>
                <w:color w:val="000000" w:themeColor="text1"/>
              </w:rPr>
              <w:t>Gordon Downs</w:t>
            </w:r>
          </w:p>
        </w:tc>
        <w:tc>
          <w:tcPr>
            <w:tcW w:w="2591" w:type="dxa"/>
            <w:noWrap/>
          </w:tcPr>
          <w:p w:rsidR="00256942" w:rsidRPr="00256942" w:rsidRDefault="00256942" w:rsidP="00256942">
            <w:pPr>
              <w:jc w:val="right"/>
              <w:rPr>
                <w:color w:val="000000" w:themeColor="text1"/>
              </w:rPr>
            </w:pPr>
            <w:r w:rsidRPr="00256942">
              <w:rPr>
                <w:color w:val="000000" w:themeColor="text1"/>
              </w:rPr>
              <w:t>$72,000</w:t>
            </w:r>
          </w:p>
        </w:tc>
      </w:tr>
      <w:tr w:rsidR="005C1BF6" w:rsidRPr="009F180F" w:rsidTr="00256942">
        <w:trPr>
          <w:trHeight w:val="314"/>
        </w:trPr>
        <w:tc>
          <w:tcPr>
            <w:tcW w:w="3021" w:type="dxa"/>
            <w:shd w:val="clear" w:color="auto" w:fill="F2F2F2" w:themeFill="background1" w:themeFillShade="F2"/>
          </w:tcPr>
          <w:p w:rsidR="005C1BF6" w:rsidRPr="00256942" w:rsidRDefault="005C1BF6" w:rsidP="008169F9">
            <w:pPr>
              <w:rPr>
                <w:b/>
                <w:color w:val="000000" w:themeColor="text1"/>
              </w:rPr>
            </w:pPr>
            <w:r w:rsidRPr="00256942">
              <w:rPr>
                <w:b/>
                <w:color w:val="000000" w:themeColor="text1"/>
              </w:rPr>
              <w:t>Kalgoorlie</w:t>
            </w:r>
            <w:r w:rsidR="008169F9">
              <w:rPr>
                <w:b/>
                <w:color w:val="000000" w:themeColor="text1"/>
              </w:rPr>
              <w:t>-</w:t>
            </w:r>
            <w:r w:rsidRPr="00256942">
              <w:rPr>
                <w:b/>
                <w:color w:val="000000" w:themeColor="text1"/>
              </w:rPr>
              <w:t>Boulder</w:t>
            </w:r>
          </w:p>
        </w:tc>
        <w:tc>
          <w:tcPr>
            <w:tcW w:w="3802" w:type="dxa"/>
            <w:shd w:val="clear" w:color="auto" w:fill="F2F2F2" w:themeFill="background1" w:themeFillShade="F2"/>
            <w:noWrap/>
          </w:tcPr>
          <w:p w:rsidR="005C1BF6" w:rsidRPr="00256942" w:rsidRDefault="005C1BF6" w:rsidP="005C1BF6">
            <w:pPr>
              <w:rPr>
                <w:color w:val="000000" w:themeColor="text1"/>
              </w:rPr>
            </w:pPr>
            <w:r w:rsidRPr="00256942">
              <w:rPr>
                <w:color w:val="000000" w:themeColor="text1"/>
              </w:rPr>
              <w:t>Trans Access</w:t>
            </w:r>
          </w:p>
        </w:tc>
        <w:tc>
          <w:tcPr>
            <w:tcW w:w="2591" w:type="dxa"/>
            <w:shd w:val="clear" w:color="auto" w:fill="F2F2F2" w:themeFill="background1" w:themeFillShade="F2"/>
            <w:noWrap/>
          </w:tcPr>
          <w:p w:rsidR="005C1BF6" w:rsidRPr="00256942" w:rsidRDefault="005C1BF6" w:rsidP="00256942">
            <w:pPr>
              <w:jc w:val="right"/>
              <w:rPr>
                <w:color w:val="000000" w:themeColor="text1"/>
              </w:rPr>
            </w:pPr>
            <w:r w:rsidRPr="00256942">
              <w:rPr>
                <w:color w:val="000000" w:themeColor="text1"/>
              </w:rPr>
              <w:t>$114,000</w:t>
            </w:r>
          </w:p>
        </w:tc>
      </w:tr>
      <w:tr w:rsidR="005C1BF6" w:rsidRPr="009F180F" w:rsidTr="00256942">
        <w:trPr>
          <w:trHeight w:val="314"/>
        </w:trPr>
        <w:tc>
          <w:tcPr>
            <w:tcW w:w="3021" w:type="dxa"/>
          </w:tcPr>
          <w:p w:rsidR="005C1BF6" w:rsidRPr="00256942" w:rsidRDefault="005C1BF6" w:rsidP="005C1BF6">
            <w:pPr>
              <w:rPr>
                <w:b/>
                <w:color w:val="000000" w:themeColor="text1"/>
              </w:rPr>
            </w:pPr>
            <w:r w:rsidRPr="00256942">
              <w:rPr>
                <w:b/>
                <w:color w:val="000000" w:themeColor="text1"/>
              </w:rPr>
              <w:t>Laverton</w:t>
            </w:r>
          </w:p>
        </w:tc>
        <w:tc>
          <w:tcPr>
            <w:tcW w:w="3802" w:type="dxa"/>
            <w:noWrap/>
          </w:tcPr>
          <w:p w:rsidR="005C1BF6" w:rsidRPr="00256942" w:rsidRDefault="005C1BF6" w:rsidP="005C1BF6">
            <w:pPr>
              <w:rPr>
                <w:color w:val="000000" w:themeColor="text1"/>
              </w:rPr>
            </w:pPr>
            <w:r w:rsidRPr="00256942">
              <w:rPr>
                <w:color w:val="000000" w:themeColor="text1"/>
              </w:rPr>
              <w:t>Great Central</w:t>
            </w:r>
          </w:p>
        </w:tc>
        <w:tc>
          <w:tcPr>
            <w:tcW w:w="2591" w:type="dxa"/>
            <w:noWrap/>
          </w:tcPr>
          <w:p w:rsidR="005C1BF6" w:rsidRPr="00256942" w:rsidRDefault="005C1BF6" w:rsidP="00256942">
            <w:pPr>
              <w:jc w:val="right"/>
              <w:rPr>
                <w:color w:val="000000" w:themeColor="text1"/>
              </w:rPr>
            </w:pPr>
            <w:r w:rsidRPr="00256942">
              <w:rPr>
                <w:color w:val="000000" w:themeColor="text1"/>
              </w:rPr>
              <w:t>$80,000</w:t>
            </w:r>
          </w:p>
        </w:tc>
      </w:tr>
      <w:tr w:rsidR="005C1BF6" w:rsidRPr="009F180F" w:rsidTr="00256942">
        <w:trPr>
          <w:trHeight w:val="314"/>
        </w:trPr>
        <w:tc>
          <w:tcPr>
            <w:tcW w:w="3021" w:type="dxa"/>
            <w:shd w:val="clear" w:color="auto" w:fill="F2F2F2" w:themeFill="background1" w:themeFillShade="F2"/>
          </w:tcPr>
          <w:p w:rsidR="005C1BF6" w:rsidRPr="00256942" w:rsidRDefault="005C1BF6" w:rsidP="005C1BF6">
            <w:pPr>
              <w:rPr>
                <w:b/>
                <w:color w:val="000000" w:themeColor="text1"/>
              </w:rPr>
            </w:pPr>
            <w:r w:rsidRPr="00256942">
              <w:rPr>
                <w:b/>
                <w:color w:val="000000" w:themeColor="text1"/>
              </w:rPr>
              <w:t>Menzies</w:t>
            </w:r>
          </w:p>
        </w:tc>
        <w:tc>
          <w:tcPr>
            <w:tcW w:w="3802" w:type="dxa"/>
            <w:shd w:val="clear" w:color="auto" w:fill="F2F2F2" w:themeFill="background1" w:themeFillShade="F2"/>
            <w:noWrap/>
          </w:tcPr>
          <w:p w:rsidR="005C1BF6" w:rsidRPr="00256942" w:rsidRDefault="005C1BF6" w:rsidP="005C1BF6">
            <w:pPr>
              <w:rPr>
                <w:color w:val="000000" w:themeColor="text1"/>
              </w:rPr>
            </w:pPr>
            <w:proofErr w:type="spellStart"/>
            <w:r w:rsidRPr="00256942">
              <w:rPr>
                <w:color w:val="000000" w:themeColor="text1"/>
              </w:rPr>
              <w:t>Tjuntjuntjarra</w:t>
            </w:r>
            <w:proofErr w:type="spellEnd"/>
            <w:r w:rsidRPr="00256942">
              <w:rPr>
                <w:color w:val="000000" w:themeColor="text1"/>
              </w:rPr>
              <w:t xml:space="preserve"> </w:t>
            </w:r>
          </w:p>
        </w:tc>
        <w:tc>
          <w:tcPr>
            <w:tcW w:w="2591" w:type="dxa"/>
            <w:shd w:val="clear" w:color="auto" w:fill="F2F2F2" w:themeFill="background1" w:themeFillShade="F2"/>
            <w:noWrap/>
          </w:tcPr>
          <w:p w:rsidR="005C1BF6" w:rsidRPr="00256942" w:rsidRDefault="005C1BF6" w:rsidP="00256942">
            <w:pPr>
              <w:jc w:val="right"/>
              <w:rPr>
                <w:color w:val="000000" w:themeColor="text1"/>
              </w:rPr>
            </w:pPr>
            <w:r w:rsidRPr="00256942">
              <w:rPr>
                <w:color w:val="000000" w:themeColor="text1"/>
              </w:rPr>
              <w:t>$120,000</w:t>
            </w:r>
          </w:p>
        </w:tc>
      </w:tr>
      <w:tr w:rsidR="009F180F" w:rsidRPr="009F180F" w:rsidTr="00256942">
        <w:trPr>
          <w:trHeight w:val="314"/>
        </w:trPr>
        <w:tc>
          <w:tcPr>
            <w:tcW w:w="3021" w:type="dxa"/>
            <w:vMerge w:val="restart"/>
            <w:shd w:val="clear" w:color="auto" w:fill="auto"/>
          </w:tcPr>
          <w:p w:rsidR="009F180F" w:rsidRPr="00256942" w:rsidRDefault="009F180F" w:rsidP="009F180F">
            <w:pPr>
              <w:pStyle w:val="tabletext"/>
              <w:spacing w:before="40" w:after="40"/>
              <w:rPr>
                <w:b/>
                <w:color w:val="000000" w:themeColor="text1"/>
              </w:rPr>
            </w:pPr>
            <w:r w:rsidRPr="00256942">
              <w:rPr>
                <w:b/>
                <w:color w:val="000000" w:themeColor="text1"/>
              </w:rPr>
              <w:t>Ngaanyatjarraku</w:t>
            </w:r>
          </w:p>
        </w:tc>
        <w:tc>
          <w:tcPr>
            <w:tcW w:w="3802" w:type="dxa"/>
            <w:shd w:val="clear" w:color="auto" w:fill="auto"/>
            <w:noWrap/>
          </w:tcPr>
          <w:p w:rsidR="009F180F" w:rsidRPr="00256942" w:rsidRDefault="009F180F" w:rsidP="009F180F">
            <w:pPr>
              <w:pStyle w:val="tabletext"/>
              <w:spacing w:before="40" w:after="40"/>
              <w:rPr>
                <w:color w:val="000000" w:themeColor="text1"/>
              </w:rPr>
            </w:pPr>
            <w:r w:rsidRPr="00256942">
              <w:rPr>
                <w:color w:val="000000" w:themeColor="text1"/>
              </w:rPr>
              <w:t>Great Central</w:t>
            </w:r>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$130,000</w:t>
            </w:r>
          </w:p>
        </w:tc>
      </w:tr>
      <w:tr w:rsidR="009F180F" w:rsidRPr="009F180F" w:rsidTr="00256942">
        <w:trPr>
          <w:trHeight w:val="434"/>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r w:rsidRPr="00256942">
              <w:rPr>
                <w:color w:val="000000" w:themeColor="text1"/>
              </w:rPr>
              <w:t>Warburton Blackstone</w:t>
            </w:r>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$180,000</w:t>
            </w:r>
          </w:p>
        </w:tc>
      </w:tr>
      <w:tr w:rsidR="009F180F" w:rsidRPr="009F180F" w:rsidTr="00256942">
        <w:trPr>
          <w:trHeight w:val="314"/>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r w:rsidRPr="00256942">
              <w:rPr>
                <w:color w:val="000000" w:themeColor="text1"/>
              </w:rPr>
              <w:t>Giles Mulga Park</w:t>
            </w:r>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$114,000</w:t>
            </w:r>
          </w:p>
        </w:tc>
      </w:tr>
      <w:tr w:rsidR="009F180F" w:rsidRPr="009F180F" w:rsidTr="00256942">
        <w:trPr>
          <w:trHeight w:val="314"/>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proofErr w:type="spellStart"/>
            <w:r w:rsidRPr="00256942">
              <w:rPr>
                <w:color w:val="000000" w:themeColor="text1"/>
              </w:rPr>
              <w:t>Warakurna</w:t>
            </w:r>
            <w:proofErr w:type="spellEnd"/>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$10,000</w:t>
            </w:r>
          </w:p>
        </w:tc>
      </w:tr>
      <w:tr w:rsidR="009F180F" w:rsidRPr="009F180F" w:rsidTr="00256942">
        <w:trPr>
          <w:trHeight w:val="314"/>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proofErr w:type="spellStart"/>
            <w:r w:rsidRPr="00256942">
              <w:rPr>
                <w:color w:val="000000" w:themeColor="text1"/>
              </w:rPr>
              <w:t>Tjukurla</w:t>
            </w:r>
            <w:proofErr w:type="spellEnd"/>
            <w:r w:rsidRPr="00256942">
              <w:rPr>
                <w:color w:val="000000" w:themeColor="text1"/>
              </w:rPr>
              <w:t xml:space="preserve"> Com Access</w:t>
            </w:r>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$40,000</w:t>
            </w:r>
          </w:p>
        </w:tc>
      </w:tr>
      <w:tr w:rsidR="009F180F" w:rsidRPr="009F180F" w:rsidTr="00256942">
        <w:trPr>
          <w:trHeight w:val="320"/>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r w:rsidRPr="00256942">
              <w:rPr>
                <w:color w:val="000000" w:themeColor="text1"/>
              </w:rPr>
              <w:t xml:space="preserve">Jameson </w:t>
            </w:r>
            <w:proofErr w:type="spellStart"/>
            <w:r w:rsidRPr="00256942">
              <w:rPr>
                <w:color w:val="000000" w:themeColor="text1"/>
              </w:rPr>
              <w:t>Wanarn</w:t>
            </w:r>
            <w:proofErr w:type="spellEnd"/>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$20,000</w:t>
            </w:r>
          </w:p>
        </w:tc>
      </w:tr>
      <w:tr w:rsidR="009F180F" w:rsidRPr="009F180F" w:rsidTr="00256942">
        <w:trPr>
          <w:trHeight w:val="314"/>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proofErr w:type="spellStart"/>
            <w:r w:rsidRPr="00256942">
              <w:rPr>
                <w:color w:val="000000" w:themeColor="text1"/>
              </w:rPr>
              <w:t>Wingellina</w:t>
            </w:r>
            <w:proofErr w:type="spellEnd"/>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$5,480</w:t>
            </w:r>
          </w:p>
        </w:tc>
      </w:tr>
      <w:tr w:rsidR="009F180F" w:rsidRPr="009F180F" w:rsidTr="00256942">
        <w:trPr>
          <w:trHeight w:val="300"/>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proofErr w:type="spellStart"/>
            <w:r w:rsidRPr="00256942">
              <w:rPr>
                <w:color w:val="000000" w:themeColor="text1"/>
              </w:rPr>
              <w:t>Tjirrkarli</w:t>
            </w:r>
            <w:proofErr w:type="spellEnd"/>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$42,000</w:t>
            </w:r>
          </w:p>
        </w:tc>
      </w:tr>
      <w:tr w:rsidR="009F180F" w:rsidRPr="009F180F" w:rsidTr="00256942">
        <w:trPr>
          <w:trHeight w:val="351"/>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proofErr w:type="spellStart"/>
            <w:r w:rsidRPr="00256942">
              <w:rPr>
                <w:color w:val="000000" w:themeColor="text1"/>
              </w:rPr>
              <w:t>Wanarn</w:t>
            </w:r>
            <w:proofErr w:type="spellEnd"/>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$14,000</w:t>
            </w:r>
          </w:p>
        </w:tc>
      </w:tr>
      <w:tr w:rsidR="009F180F" w:rsidRPr="009F180F" w:rsidTr="00256942">
        <w:trPr>
          <w:trHeight w:val="314"/>
        </w:trPr>
        <w:tc>
          <w:tcPr>
            <w:tcW w:w="3021" w:type="dxa"/>
            <w:vMerge/>
            <w:shd w:val="clear" w:color="auto" w:fill="auto"/>
          </w:tcPr>
          <w:p w:rsidR="009F180F" w:rsidRPr="00256942" w:rsidRDefault="009F180F" w:rsidP="009F180F">
            <w:pPr>
              <w:pStyle w:val="tabletext"/>
              <w:spacing w:before="40" w:after="40"/>
              <w:rPr>
                <w:b/>
                <w:color w:val="000000" w:themeColor="text1"/>
              </w:rPr>
            </w:pPr>
          </w:p>
        </w:tc>
        <w:tc>
          <w:tcPr>
            <w:tcW w:w="3802" w:type="dxa"/>
            <w:shd w:val="clear" w:color="auto" w:fill="auto"/>
            <w:noWrap/>
          </w:tcPr>
          <w:p w:rsidR="009F180F" w:rsidRPr="00256942" w:rsidRDefault="009F180F" w:rsidP="009F180F">
            <w:pPr>
              <w:pStyle w:val="tabletext"/>
              <w:spacing w:before="40" w:after="40"/>
              <w:rPr>
                <w:color w:val="000000" w:themeColor="text1"/>
              </w:rPr>
            </w:pPr>
            <w:proofErr w:type="spellStart"/>
            <w:r w:rsidRPr="00256942">
              <w:rPr>
                <w:color w:val="000000" w:themeColor="text1"/>
              </w:rPr>
              <w:t>Kanpa</w:t>
            </w:r>
            <w:proofErr w:type="spellEnd"/>
            <w:r w:rsidRPr="00256942">
              <w:rPr>
                <w:color w:val="000000" w:themeColor="text1"/>
              </w:rPr>
              <w:t xml:space="preserve"> [Bail Facility]</w:t>
            </w:r>
          </w:p>
        </w:tc>
        <w:tc>
          <w:tcPr>
            <w:tcW w:w="2591" w:type="dxa"/>
            <w:shd w:val="clear" w:color="auto" w:fill="auto"/>
            <w:noWrap/>
          </w:tcPr>
          <w:p w:rsidR="009F180F" w:rsidRPr="00256942" w:rsidRDefault="009F180F" w:rsidP="00256942">
            <w:pPr>
              <w:pStyle w:val="tabletext"/>
              <w:spacing w:before="40" w:after="40"/>
              <w:jc w:val="right"/>
              <w:rPr>
                <w:color w:val="000000" w:themeColor="text1"/>
              </w:rPr>
            </w:pPr>
            <w:r w:rsidRPr="00256942">
              <w:rPr>
                <w:color w:val="000000" w:themeColor="text1"/>
              </w:rPr>
              <w:t>$20,000</w:t>
            </w:r>
          </w:p>
        </w:tc>
      </w:tr>
      <w:tr w:rsidR="00EE6210" w:rsidRPr="009F180F" w:rsidTr="00256942">
        <w:trPr>
          <w:trHeight w:val="314"/>
        </w:trPr>
        <w:tc>
          <w:tcPr>
            <w:tcW w:w="3021" w:type="dxa"/>
            <w:shd w:val="clear" w:color="auto" w:fill="F2F2F2" w:themeFill="background1" w:themeFillShade="F2"/>
          </w:tcPr>
          <w:p w:rsidR="00EE6210" w:rsidRPr="00256942" w:rsidRDefault="00256942" w:rsidP="00EE6210">
            <w:pPr>
              <w:pStyle w:val="tabletext"/>
              <w:spacing w:before="40" w:after="40"/>
              <w:rPr>
                <w:b/>
                <w:color w:val="000000" w:themeColor="text1"/>
              </w:rPr>
            </w:pPr>
            <w:r w:rsidRPr="00256942">
              <w:rPr>
                <w:b/>
                <w:color w:val="000000" w:themeColor="text1"/>
              </w:rPr>
              <w:t>Port Hedland</w:t>
            </w:r>
          </w:p>
        </w:tc>
        <w:tc>
          <w:tcPr>
            <w:tcW w:w="3802" w:type="dxa"/>
            <w:shd w:val="clear" w:color="auto" w:fill="F2F2F2" w:themeFill="background1" w:themeFillShade="F2"/>
            <w:noWrap/>
          </w:tcPr>
          <w:p w:rsidR="00EE6210" w:rsidRPr="00256942" w:rsidRDefault="00256942" w:rsidP="00EE6210">
            <w:pPr>
              <w:rPr>
                <w:color w:val="000000" w:themeColor="text1"/>
              </w:rPr>
            </w:pPr>
            <w:proofErr w:type="spellStart"/>
            <w:r w:rsidRPr="00256942">
              <w:rPr>
                <w:color w:val="000000" w:themeColor="text1"/>
              </w:rPr>
              <w:t>Yandeyarra</w:t>
            </w:r>
            <w:proofErr w:type="spellEnd"/>
          </w:p>
        </w:tc>
        <w:tc>
          <w:tcPr>
            <w:tcW w:w="2591" w:type="dxa"/>
            <w:shd w:val="clear" w:color="auto" w:fill="F2F2F2" w:themeFill="background1" w:themeFillShade="F2"/>
            <w:noWrap/>
          </w:tcPr>
          <w:p w:rsidR="00EE6210" w:rsidRPr="00256942" w:rsidRDefault="00256942" w:rsidP="00256942">
            <w:pPr>
              <w:jc w:val="right"/>
              <w:rPr>
                <w:color w:val="000000" w:themeColor="text1"/>
              </w:rPr>
            </w:pPr>
            <w:r w:rsidRPr="00256942">
              <w:rPr>
                <w:color w:val="000000" w:themeColor="text1"/>
              </w:rPr>
              <w:t>$50,000</w:t>
            </w:r>
          </w:p>
        </w:tc>
      </w:tr>
      <w:tr w:rsidR="00EE6210" w:rsidRPr="009F180F" w:rsidTr="00256942">
        <w:trPr>
          <w:trHeight w:val="314"/>
        </w:trPr>
        <w:tc>
          <w:tcPr>
            <w:tcW w:w="3021" w:type="dxa"/>
            <w:shd w:val="clear" w:color="auto" w:fill="auto"/>
          </w:tcPr>
          <w:p w:rsidR="00EE6210" w:rsidRPr="00256942" w:rsidRDefault="00EE6210" w:rsidP="00EE6210">
            <w:pPr>
              <w:pStyle w:val="tabletext"/>
              <w:spacing w:before="40" w:after="40"/>
              <w:rPr>
                <w:b/>
                <w:color w:val="000000" w:themeColor="text1"/>
              </w:rPr>
            </w:pPr>
            <w:r w:rsidRPr="00256942">
              <w:rPr>
                <w:b/>
                <w:color w:val="000000" w:themeColor="text1"/>
              </w:rPr>
              <w:t>Upper Gascoyne</w:t>
            </w:r>
          </w:p>
        </w:tc>
        <w:tc>
          <w:tcPr>
            <w:tcW w:w="3802" w:type="dxa"/>
            <w:shd w:val="clear" w:color="auto" w:fill="auto"/>
            <w:noWrap/>
          </w:tcPr>
          <w:p w:rsidR="00EE6210" w:rsidRPr="00256942" w:rsidRDefault="00EE6210" w:rsidP="00EE6210">
            <w:pPr>
              <w:rPr>
                <w:color w:val="000000" w:themeColor="text1"/>
              </w:rPr>
            </w:pPr>
            <w:r w:rsidRPr="00256942">
              <w:rPr>
                <w:color w:val="000000" w:themeColor="text1"/>
              </w:rPr>
              <w:t>Landor Mt Augustus</w:t>
            </w:r>
          </w:p>
        </w:tc>
        <w:tc>
          <w:tcPr>
            <w:tcW w:w="2591" w:type="dxa"/>
            <w:shd w:val="clear" w:color="auto" w:fill="auto"/>
            <w:noWrap/>
          </w:tcPr>
          <w:p w:rsidR="00EE6210" w:rsidRPr="00256942" w:rsidRDefault="00256942" w:rsidP="00256942">
            <w:pPr>
              <w:jc w:val="right"/>
              <w:rPr>
                <w:color w:val="000000" w:themeColor="text1"/>
              </w:rPr>
            </w:pPr>
            <w:r w:rsidRPr="00256942">
              <w:rPr>
                <w:color w:val="000000" w:themeColor="text1"/>
              </w:rPr>
              <w:t>$94</w:t>
            </w:r>
            <w:r w:rsidR="00EE6210" w:rsidRPr="00256942">
              <w:rPr>
                <w:color w:val="000000" w:themeColor="text1"/>
              </w:rPr>
              <w:t>,000</w:t>
            </w:r>
          </w:p>
        </w:tc>
      </w:tr>
      <w:tr w:rsidR="00EE6210" w:rsidRPr="009F180F" w:rsidTr="00256942">
        <w:trPr>
          <w:trHeight w:val="314"/>
        </w:trPr>
        <w:tc>
          <w:tcPr>
            <w:tcW w:w="3021" w:type="dxa"/>
            <w:shd w:val="clear" w:color="auto" w:fill="F2F2F2" w:themeFill="background1" w:themeFillShade="F2"/>
          </w:tcPr>
          <w:p w:rsidR="00EE6210" w:rsidRPr="00256942" w:rsidRDefault="00256942" w:rsidP="00EE6210">
            <w:pPr>
              <w:pStyle w:val="tabletext"/>
              <w:spacing w:before="40" w:after="40"/>
              <w:rPr>
                <w:b/>
                <w:color w:val="000000" w:themeColor="text1"/>
              </w:rPr>
            </w:pPr>
            <w:r w:rsidRPr="00256942">
              <w:rPr>
                <w:b/>
                <w:color w:val="000000" w:themeColor="text1"/>
              </w:rPr>
              <w:t>Wiluna</w:t>
            </w:r>
          </w:p>
        </w:tc>
        <w:tc>
          <w:tcPr>
            <w:tcW w:w="3802" w:type="dxa"/>
            <w:shd w:val="clear" w:color="auto" w:fill="F2F2F2" w:themeFill="background1" w:themeFillShade="F2"/>
            <w:noWrap/>
          </w:tcPr>
          <w:p w:rsidR="00EE6210" w:rsidRPr="00256942" w:rsidRDefault="00256942" w:rsidP="00EE6210">
            <w:pPr>
              <w:rPr>
                <w:color w:val="000000" w:themeColor="text1"/>
              </w:rPr>
            </w:pPr>
            <w:r w:rsidRPr="00256942">
              <w:rPr>
                <w:color w:val="000000" w:themeColor="text1"/>
              </w:rPr>
              <w:t>Sandstone Wiluna</w:t>
            </w:r>
          </w:p>
        </w:tc>
        <w:tc>
          <w:tcPr>
            <w:tcW w:w="2591" w:type="dxa"/>
            <w:shd w:val="clear" w:color="auto" w:fill="F2F2F2" w:themeFill="background1" w:themeFillShade="F2"/>
            <w:noWrap/>
          </w:tcPr>
          <w:p w:rsidR="00EE6210" w:rsidRPr="00256942" w:rsidRDefault="00256942" w:rsidP="00256942">
            <w:pPr>
              <w:jc w:val="right"/>
              <w:rPr>
                <w:color w:val="000000" w:themeColor="text1"/>
              </w:rPr>
            </w:pPr>
            <w:r w:rsidRPr="00256942">
              <w:rPr>
                <w:color w:val="000000" w:themeColor="text1"/>
              </w:rPr>
              <w:t>$36,000</w:t>
            </w:r>
          </w:p>
        </w:tc>
      </w:tr>
      <w:tr w:rsidR="005C1BF6" w:rsidRPr="009F180F" w:rsidTr="00256942">
        <w:trPr>
          <w:trHeight w:val="314"/>
        </w:trPr>
        <w:tc>
          <w:tcPr>
            <w:tcW w:w="3021" w:type="dxa"/>
            <w:shd w:val="clear" w:color="auto" w:fill="auto"/>
          </w:tcPr>
          <w:p w:rsidR="005C1BF6" w:rsidRPr="00256942" w:rsidRDefault="005C1BF6" w:rsidP="005C1BF6">
            <w:pPr>
              <w:rPr>
                <w:b/>
                <w:color w:val="000000" w:themeColor="text1"/>
              </w:rPr>
            </w:pPr>
            <w:r w:rsidRPr="00256942">
              <w:rPr>
                <w:b/>
                <w:color w:val="000000" w:themeColor="text1"/>
              </w:rPr>
              <w:t>Wyndham East Kimberley</w:t>
            </w:r>
          </w:p>
        </w:tc>
        <w:tc>
          <w:tcPr>
            <w:tcW w:w="3802" w:type="dxa"/>
            <w:shd w:val="clear" w:color="auto" w:fill="auto"/>
            <w:noWrap/>
          </w:tcPr>
          <w:p w:rsidR="005C1BF6" w:rsidRPr="00256942" w:rsidRDefault="005C1BF6" w:rsidP="005C1BF6">
            <w:pPr>
              <w:rPr>
                <w:color w:val="000000" w:themeColor="text1"/>
              </w:rPr>
            </w:pPr>
            <w:r w:rsidRPr="00256942">
              <w:rPr>
                <w:color w:val="000000" w:themeColor="text1"/>
              </w:rPr>
              <w:t xml:space="preserve">Gibb River </w:t>
            </w:r>
            <w:proofErr w:type="spellStart"/>
            <w:r w:rsidRPr="00256942">
              <w:rPr>
                <w:color w:val="000000" w:themeColor="text1"/>
              </w:rPr>
              <w:t>Kalumburu</w:t>
            </w:r>
            <w:proofErr w:type="spellEnd"/>
          </w:p>
        </w:tc>
        <w:tc>
          <w:tcPr>
            <w:tcW w:w="2591" w:type="dxa"/>
            <w:shd w:val="clear" w:color="auto" w:fill="auto"/>
            <w:noWrap/>
          </w:tcPr>
          <w:p w:rsidR="005C1BF6" w:rsidRPr="00256942" w:rsidRDefault="005C1BF6" w:rsidP="00256942">
            <w:pPr>
              <w:jc w:val="right"/>
              <w:rPr>
                <w:color w:val="000000" w:themeColor="text1"/>
              </w:rPr>
            </w:pPr>
            <w:r w:rsidRPr="00256942">
              <w:rPr>
                <w:color w:val="000000" w:themeColor="text1"/>
              </w:rPr>
              <w:t>$294,000</w:t>
            </w:r>
          </w:p>
        </w:tc>
      </w:tr>
      <w:tr w:rsidR="009F180F" w:rsidRPr="009F180F" w:rsidTr="00256942">
        <w:trPr>
          <w:trHeight w:val="523"/>
        </w:trPr>
        <w:tc>
          <w:tcPr>
            <w:tcW w:w="6823" w:type="dxa"/>
            <w:gridSpan w:val="2"/>
            <w:vAlign w:val="bottom"/>
          </w:tcPr>
          <w:p w:rsidR="009F180F" w:rsidRPr="00546997" w:rsidRDefault="009F180F" w:rsidP="009F180F">
            <w:pPr>
              <w:pStyle w:val="tabletext"/>
              <w:spacing w:before="40" w:after="40"/>
              <w:rPr>
                <w:b/>
              </w:rPr>
            </w:pPr>
            <w:r w:rsidRPr="00546997">
              <w:rPr>
                <w:b/>
              </w:rPr>
              <w:t>TOTAL 2015-16 Aboriginal Access Road Allocations</w:t>
            </w:r>
            <w:r w:rsidR="00546997">
              <w:rPr>
                <w:b/>
              </w:rPr>
              <w:t>:</w:t>
            </w:r>
          </w:p>
        </w:tc>
        <w:tc>
          <w:tcPr>
            <w:tcW w:w="2591" w:type="dxa"/>
            <w:noWrap/>
            <w:vAlign w:val="bottom"/>
          </w:tcPr>
          <w:p w:rsidR="009F180F" w:rsidRPr="00546997" w:rsidRDefault="009F180F" w:rsidP="009F180F">
            <w:pPr>
              <w:pStyle w:val="tabletext"/>
              <w:spacing w:before="40" w:after="40"/>
              <w:jc w:val="right"/>
              <w:rPr>
                <w:b/>
              </w:rPr>
            </w:pPr>
            <w:r w:rsidRPr="00546997">
              <w:rPr>
                <w:b/>
              </w:rPr>
              <w:t>$2,507,480</w:t>
            </w:r>
          </w:p>
        </w:tc>
      </w:tr>
    </w:tbl>
    <w:p w:rsidR="009F180F" w:rsidRPr="009F180F" w:rsidRDefault="009F180F" w:rsidP="009F180F">
      <w:bookmarkStart w:id="85" w:name="_Toc371434445"/>
      <w:bookmarkStart w:id="86" w:name="_Toc410647368"/>
      <w:bookmarkStart w:id="87" w:name="_Toc412713573"/>
      <w:bookmarkStart w:id="88" w:name="_Toc434918443"/>
    </w:p>
    <w:p w:rsidR="009C0FF5" w:rsidRDefault="00BD5CA9" w:rsidP="009C0FF5">
      <w:pPr>
        <w:pStyle w:val="Heading2"/>
      </w:pPr>
      <w:r>
        <w:lastRenderedPageBreak/>
        <w:t>S</w:t>
      </w:r>
      <w:r w:rsidR="009C0FF5">
        <w:t>pecial Projects: Bridges</w:t>
      </w:r>
      <w:bookmarkEnd w:id="85"/>
      <w:bookmarkEnd w:id="86"/>
      <w:bookmarkEnd w:id="87"/>
      <w:bookmarkEnd w:id="88"/>
    </w:p>
    <w:p w:rsidR="009C0FF5" w:rsidRDefault="009C0FF5" w:rsidP="009C0FF5">
      <w:pPr>
        <w:pStyle w:val="BodyText"/>
      </w:pPr>
      <w:r>
        <w:t>The Commission’s policy for allocating funds for bridges recognises that there are many local government bridges that are in poor condition and that the preservation of these bridges must be given a high priority.</w:t>
      </w:r>
    </w:p>
    <w:p w:rsidR="009C0FF5" w:rsidRDefault="009C0FF5" w:rsidP="009C0FF5">
      <w:pPr>
        <w:pStyle w:val="BodyText"/>
      </w:pPr>
      <w:r>
        <w:t xml:space="preserve">The </w:t>
      </w:r>
      <w:r w:rsidR="00AC19FC">
        <w:t>special p</w:t>
      </w:r>
      <w:r>
        <w:t>roject funds for bridges are only allocated to preservation projects, recognising that some of these projects may include some upgrading and that preservation includes replacement when the existing bridge has reached the end of its economic life.</w:t>
      </w:r>
    </w:p>
    <w:p w:rsidR="009C0FF5" w:rsidRDefault="009C0FF5" w:rsidP="009C0FF5">
      <w:pPr>
        <w:pStyle w:val="BodyText"/>
      </w:pPr>
      <w:r>
        <w:t xml:space="preserve">Main Roads WA (MRWA) contributes a third of the cost of all projects funded under </w:t>
      </w:r>
      <w:r w:rsidRPr="00A2779B">
        <w:t>the special projects program. In 201</w:t>
      </w:r>
      <w:r w:rsidR="004145EC">
        <w:t>5</w:t>
      </w:r>
      <w:r w:rsidRPr="00A2779B">
        <w:t>-1</w:t>
      </w:r>
      <w:r w:rsidR="004145EC">
        <w:t>6</w:t>
      </w:r>
      <w:r w:rsidRPr="00A2779B">
        <w:t>, the funds for the preservation of bridges</w:t>
      </w:r>
      <w:r>
        <w:t xml:space="preserve"> will be:</w:t>
      </w:r>
    </w:p>
    <w:p w:rsidR="009C0FF5" w:rsidRDefault="009C0FF5" w:rsidP="009C0FF5">
      <w:pPr>
        <w:pStyle w:val="BodyText"/>
        <w:tabs>
          <w:tab w:val="left" w:pos="5670"/>
        </w:tabs>
        <w:spacing w:before="360" w:after="120"/>
        <w:ind w:right="1982"/>
      </w:pPr>
      <w:r>
        <w:t>Special Project funds from Commission</w:t>
      </w:r>
      <w:r>
        <w:tab/>
      </w:r>
      <w:r w:rsidRPr="00F545AE">
        <w:t>$5,014,961</w:t>
      </w:r>
    </w:p>
    <w:p w:rsidR="009C0FF5" w:rsidRDefault="009C0FF5" w:rsidP="00A2779B">
      <w:pPr>
        <w:pStyle w:val="BodyText"/>
        <w:pBdr>
          <w:bottom w:val="single" w:sz="4" w:space="1" w:color="3C3C3C"/>
        </w:pBdr>
        <w:tabs>
          <w:tab w:val="left" w:pos="5670"/>
          <w:tab w:val="left" w:pos="7088"/>
        </w:tabs>
        <w:ind w:right="1982"/>
        <w:jc w:val="both"/>
      </w:pPr>
      <w:r>
        <w:t>State funds from Main Roads</w:t>
      </w:r>
      <w:r>
        <w:tab/>
        <w:t>$2,507,481</w:t>
      </w:r>
    </w:p>
    <w:p w:rsidR="009C0FF5" w:rsidRDefault="009C0FF5" w:rsidP="009C0FF5">
      <w:pPr>
        <w:pStyle w:val="BodyText"/>
        <w:tabs>
          <w:tab w:val="left" w:pos="5670"/>
          <w:tab w:val="left" w:pos="7088"/>
        </w:tabs>
        <w:spacing w:after="600"/>
        <w:ind w:right="1982"/>
        <w:jc w:val="both"/>
      </w:pPr>
      <w:r>
        <w:t>Total:</w:t>
      </w:r>
      <w:r>
        <w:tab/>
        <w:t>$7,522,442</w:t>
      </w:r>
    </w:p>
    <w:p w:rsidR="009C0FF5" w:rsidRDefault="009C0FF5" w:rsidP="009C0FF5">
      <w:pPr>
        <w:pStyle w:val="BodyText"/>
        <w:spacing w:after="120"/>
      </w:pPr>
      <w:r>
        <w:t>The Bridge Committee advises the Commission on priorities for allocating funds for bridges. Membership of the Committee is made up of representatives from the following organisations:</w:t>
      </w:r>
    </w:p>
    <w:p w:rsidR="009C0FF5" w:rsidRDefault="009C0FF5" w:rsidP="009C0FF5">
      <w:pPr>
        <w:pStyle w:val="BodyText"/>
        <w:numPr>
          <w:ilvl w:val="0"/>
          <w:numId w:val="29"/>
        </w:numPr>
        <w:spacing w:after="120"/>
        <w:ind w:right="227"/>
      </w:pPr>
      <w:r>
        <w:t>WA Local Government Grants Commission (Chair)</w:t>
      </w:r>
    </w:p>
    <w:p w:rsidR="009C0FF5" w:rsidRDefault="009C0FF5" w:rsidP="009C0FF5">
      <w:pPr>
        <w:pStyle w:val="BodyText"/>
        <w:numPr>
          <w:ilvl w:val="0"/>
          <w:numId w:val="29"/>
        </w:numPr>
        <w:spacing w:after="120"/>
        <w:ind w:right="227"/>
      </w:pPr>
      <w:r>
        <w:t>Western Australian Local Government Association</w:t>
      </w:r>
    </w:p>
    <w:p w:rsidR="009C0FF5" w:rsidRDefault="009C0FF5" w:rsidP="009C0FF5">
      <w:pPr>
        <w:pStyle w:val="BodyText"/>
        <w:numPr>
          <w:ilvl w:val="0"/>
          <w:numId w:val="29"/>
        </w:numPr>
        <w:ind w:right="227"/>
      </w:pPr>
      <w:r>
        <w:t>Main Roads Western Australia.</w:t>
      </w:r>
    </w:p>
    <w:p w:rsidR="009C0FF5" w:rsidRDefault="009C0FF5" w:rsidP="009C0FF5">
      <w:pPr>
        <w:pStyle w:val="BodyText"/>
      </w:pPr>
      <w:r>
        <w:t>The committee regularly receives recommendations from M</w:t>
      </w:r>
      <w:r w:rsidR="00912F83">
        <w:t xml:space="preserve">ain </w:t>
      </w:r>
      <w:r>
        <w:t>R</w:t>
      </w:r>
      <w:r w:rsidR="00912F83">
        <w:t xml:space="preserve">oads </w:t>
      </w:r>
      <w:r>
        <w:t>W</w:t>
      </w:r>
      <w:r w:rsidR="00912F83">
        <w:t xml:space="preserve">estern </w:t>
      </w:r>
      <w:r>
        <w:t>A</w:t>
      </w:r>
      <w:r w:rsidR="00912F83">
        <w:t>ustralia</w:t>
      </w:r>
      <w:r>
        <w:t xml:space="preserve"> on funding priorities for bridges. MRWA inspects and evaluates the condition of local government bridges and has the expertise to assess priorities and make recommendations on remedial measures. As part of the process, local governments make applications to the Commission for bridge funding each year.</w:t>
      </w:r>
    </w:p>
    <w:p w:rsidR="00765249" w:rsidRDefault="00765249" w:rsidP="009C0FF5">
      <w:pPr>
        <w:pStyle w:val="BodyText"/>
      </w:pPr>
      <w:r>
        <w:br w:type="page"/>
      </w:r>
    </w:p>
    <w:p w:rsidR="00E2512A" w:rsidRDefault="00E2512A" w:rsidP="00E2512A">
      <w:pPr>
        <w:pStyle w:val="Caption"/>
      </w:pPr>
      <w:r w:rsidRPr="001B0B85">
        <w:lastRenderedPageBreak/>
        <w:t xml:space="preserve">Table 5: </w:t>
      </w:r>
      <w:r w:rsidR="007F37A3">
        <w:t xml:space="preserve">Bridge </w:t>
      </w:r>
      <w:r w:rsidRPr="001B0B85">
        <w:t>Grants</w:t>
      </w:r>
    </w:p>
    <w:tbl>
      <w:tblPr>
        <w:tblStyle w:val="Table-DeepSea"/>
        <w:tblW w:w="9453" w:type="dxa"/>
        <w:tblLook w:val="04A0" w:firstRow="1" w:lastRow="0" w:firstColumn="1" w:lastColumn="0" w:noHBand="0" w:noVBand="1"/>
        <w:tblCaption w:val="Table 5: Bridge Grants"/>
        <w:tblDescription w:val="Table 5: Bridge Grants"/>
      </w:tblPr>
      <w:tblGrid>
        <w:gridCol w:w="3151"/>
        <w:gridCol w:w="3151"/>
        <w:gridCol w:w="3151"/>
      </w:tblGrid>
      <w:tr w:rsidR="00765249" w:rsidRPr="00FB3435" w:rsidTr="00833DAB">
        <w:trPr>
          <w:cnfStyle w:val="100000000000" w:firstRow="1" w:lastRow="0" w:firstColumn="0" w:lastColumn="0" w:oddVBand="0" w:evenVBand="0" w:oddHBand="0" w:evenHBand="0" w:firstRowFirstColumn="0" w:firstRowLastColumn="0" w:lastRowFirstColumn="0" w:lastRowLastColumn="0"/>
          <w:trHeight w:val="666"/>
          <w:tblHeader/>
        </w:trPr>
        <w:tc>
          <w:tcPr>
            <w:tcW w:w="3151" w:type="dxa"/>
          </w:tcPr>
          <w:p w:rsidR="00765249" w:rsidRPr="00FB3435" w:rsidRDefault="00765249" w:rsidP="00765249">
            <w:pPr>
              <w:pStyle w:val="Table-Header"/>
              <w:rPr>
                <w:rStyle w:val="Table-Header-unbold"/>
                <w:b/>
              </w:rPr>
            </w:pPr>
            <w:r w:rsidRPr="00FB3435">
              <w:rPr>
                <w:rStyle w:val="Table-Header-unbold"/>
                <w:b/>
              </w:rPr>
              <w:t>Local Government</w:t>
            </w:r>
          </w:p>
        </w:tc>
        <w:tc>
          <w:tcPr>
            <w:tcW w:w="3151" w:type="dxa"/>
          </w:tcPr>
          <w:p w:rsidR="00765249" w:rsidRPr="00FB3435" w:rsidRDefault="00765249" w:rsidP="00765249">
            <w:pPr>
              <w:pStyle w:val="Table-Header"/>
              <w:rPr>
                <w:rStyle w:val="Table-Header-unbold"/>
                <w:b/>
              </w:rPr>
            </w:pPr>
            <w:r w:rsidRPr="00FB3435">
              <w:rPr>
                <w:rStyle w:val="Table-Header-unbold"/>
                <w:b/>
              </w:rPr>
              <w:t>Road Name</w:t>
            </w:r>
          </w:p>
        </w:tc>
        <w:tc>
          <w:tcPr>
            <w:tcW w:w="3151" w:type="dxa"/>
          </w:tcPr>
          <w:p w:rsidR="00765249" w:rsidRPr="00FB3435" w:rsidRDefault="00765249" w:rsidP="00765249">
            <w:pPr>
              <w:pStyle w:val="Table-Header"/>
              <w:rPr>
                <w:rStyle w:val="Table-Header-unbold"/>
                <w:b/>
              </w:rPr>
            </w:pPr>
            <w:r w:rsidRPr="00FB3435">
              <w:rPr>
                <w:rStyle w:val="Table-Header-unbold"/>
                <w:b/>
              </w:rPr>
              <w:t>2015-16 Allocations</w:t>
            </w:r>
          </w:p>
        </w:tc>
      </w:tr>
      <w:tr w:rsidR="00EE6210" w:rsidRPr="004D5CE3" w:rsidTr="004D5CE3">
        <w:trPr>
          <w:trHeight w:val="358"/>
        </w:trPr>
        <w:tc>
          <w:tcPr>
            <w:tcW w:w="3151" w:type="dxa"/>
          </w:tcPr>
          <w:p w:rsidR="00EE6210" w:rsidRPr="00EE6210" w:rsidRDefault="00EE6210" w:rsidP="00EE6210">
            <w:pPr>
              <w:rPr>
                <w:b/>
              </w:rPr>
            </w:pPr>
            <w:r w:rsidRPr="00EE6210">
              <w:rPr>
                <w:b/>
              </w:rPr>
              <w:t>Albany</w:t>
            </w:r>
          </w:p>
        </w:tc>
        <w:tc>
          <w:tcPr>
            <w:tcW w:w="3151" w:type="dxa"/>
          </w:tcPr>
          <w:p w:rsidR="00EE6210" w:rsidRPr="00C147E2" w:rsidRDefault="00EE6210" w:rsidP="00EE6210">
            <w:proofErr w:type="spellStart"/>
            <w:r w:rsidRPr="00C147E2">
              <w:t>Wheeldon</w:t>
            </w:r>
            <w:proofErr w:type="spellEnd"/>
            <w:r w:rsidRPr="00C147E2">
              <w:t xml:space="preserve"> Rd</w:t>
            </w:r>
          </w:p>
        </w:tc>
        <w:tc>
          <w:tcPr>
            <w:tcW w:w="3151" w:type="dxa"/>
          </w:tcPr>
          <w:p w:rsidR="00EE6210" w:rsidRPr="00C147E2" w:rsidRDefault="00EE6210" w:rsidP="00EE6210">
            <w:pPr>
              <w:jc w:val="right"/>
            </w:pPr>
            <w:r w:rsidRPr="00C147E2">
              <w:t>$58,000</w:t>
            </w:r>
          </w:p>
        </w:tc>
      </w:tr>
      <w:tr w:rsidR="00EE6210" w:rsidRPr="004D5CE3" w:rsidTr="004D5CE3">
        <w:trPr>
          <w:trHeight w:val="384"/>
        </w:trPr>
        <w:tc>
          <w:tcPr>
            <w:tcW w:w="3151" w:type="dxa"/>
            <w:shd w:val="clear" w:color="auto" w:fill="F2F2F2" w:themeFill="background1" w:themeFillShade="F2"/>
          </w:tcPr>
          <w:p w:rsidR="00EE6210" w:rsidRPr="00EE6210" w:rsidRDefault="00EE6210" w:rsidP="00EE6210">
            <w:pPr>
              <w:rPr>
                <w:b/>
              </w:rPr>
            </w:pPr>
            <w:r w:rsidRPr="00EE6210">
              <w:rPr>
                <w:b/>
              </w:rPr>
              <w:t>Armadale</w:t>
            </w:r>
          </w:p>
        </w:tc>
        <w:tc>
          <w:tcPr>
            <w:tcW w:w="3151" w:type="dxa"/>
            <w:shd w:val="clear" w:color="auto" w:fill="F2F2F2" w:themeFill="background1" w:themeFillShade="F2"/>
          </w:tcPr>
          <w:p w:rsidR="00EE6210" w:rsidRPr="00C147E2" w:rsidRDefault="00EE6210" w:rsidP="00EE6210">
            <w:proofErr w:type="spellStart"/>
            <w:r w:rsidRPr="00C147E2">
              <w:t>Croyden</w:t>
            </w:r>
            <w:proofErr w:type="spellEnd"/>
            <w:r w:rsidRPr="00C147E2">
              <w:t xml:space="preserve"> Rd</w:t>
            </w:r>
          </w:p>
        </w:tc>
        <w:tc>
          <w:tcPr>
            <w:tcW w:w="3151" w:type="dxa"/>
            <w:shd w:val="clear" w:color="auto" w:fill="F2F2F2" w:themeFill="background1" w:themeFillShade="F2"/>
          </w:tcPr>
          <w:p w:rsidR="00EE6210" w:rsidRPr="00C147E2" w:rsidRDefault="00EE6210" w:rsidP="00EE6210">
            <w:pPr>
              <w:jc w:val="right"/>
            </w:pPr>
            <w:r w:rsidRPr="00C147E2">
              <w:t>$314,961</w:t>
            </w:r>
          </w:p>
        </w:tc>
      </w:tr>
      <w:tr w:rsidR="00EE6210" w:rsidRPr="004D5CE3" w:rsidTr="004D5CE3">
        <w:trPr>
          <w:trHeight w:val="358"/>
        </w:trPr>
        <w:tc>
          <w:tcPr>
            <w:tcW w:w="3151" w:type="dxa"/>
          </w:tcPr>
          <w:p w:rsidR="00EE6210" w:rsidRPr="00EE6210" w:rsidRDefault="00EE6210" w:rsidP="00EE6210">
            <w:pPr>
              <w:rPr>
                <w:b/>
              </w:rPr>
            </w:pPr>
            <w:r w:rsidRPr="00EE6210">
              <w:rPr>
                <w:b/>
              </w:rPr>
              <w:t>Armadale</w:t>
            </w:r>
          </w:p>
        </w:tc>
        <w:tc>
          <w:tcPr>
            <w:tcW w:w="3151" w:type="dxa"/>
          </w:tcPr>
          <w:p w:rsidR="00EE6210" w:rsidRPr="00C147E2" w:rsidRDefault="00EE6210" w:rsidP="00EE6210">
            <w:r w:rsidRPr="00C147E2">
              <w:t>Forrest Rd</w:t>
            </w:r>
          </w:p>
        </w:tc>
        <w:tc>
          <w:tcPr>
            <w:tcW w:w="3151" w:type="dxa"/>
          </w:tcPr>
          <w:p w:rsidR="00EE6210" w:rsidRPr="00C147E2" w:rsidRDefault="00EE6210" w:rsidP="00EE6210">
            <w:pPr>
              <w:jc w:val="right"/>
            </w:pPr>
            <w:r w:rsidRPr="00C147E2">
              <w:t>$100,000</w:t>
            </w:r>
          </w:p>
        </w:tc>
      </w:tr>
      <w:tr w:rsidR="00EE6210" w:rsidRPr="004D5CE3" w:rsidTr="004D5CE3">
        <w:trPr>
          <w:trHeight w:val="384"/>
        </w:trPr>
        <w:tc>
          <w:tcPr>
            <w:tcW w:w="3151" w:type="dxa"/>
            <w:shd w:val="clear" w:color="auto" w:fill="F2F2F2" w:themeFill="background1" w:themeFillShade="F2"/>
          </w:tcPr>
          <w:p w:rsidR="00EE6210" w:rsidRPr="00EE6210" w:rsidRDefault="00EE6210" w:rsidP="00EE6210">
            <w:pPr>
              <w:rPr>
                <w:b/>
              </w:rPr>
            </w:pPr>
            <w:r w:rsidRPr="00EE6210">
              <w:rPr>
                <w:b/>
              </w:rPr>
              <w:t xml:space="preserve">Armadale </w:t>
            </w:r>
          </w:p>
        </w:tc>
        <w:tc>
          <w:tcPr>
            <w:tcW w:w="3151" w:type="dxa"/>
            <w:shd w:val="clear" w:color="auto" w:fill="F2F2F2" w:themeFill="background1" w:themeFillShade="F2"/>
          </w:tcPr>
          <w:p w:rsidR="00EE6210" w:rsidRPr="00C147E2" w:rsidRDefault="00EE6210" w:rsidP="00EE6210">
            <w:proofErr w:type="spellStart"/>
            <w:r w:rsidRPr="00C147E2">
              <w:t>Gilwell</w:t>
            </w:r>
            <w:proofErr w:type="spellEnd"/>
            <w:r w:rsidRPr="00C147E2">
              <w:t xml:space="preserve"> Av</w:t>
            </w:r>
          </w:p>
        </w:tc>
        <w:tc>
          <w:tcPr>
            <w:tcW w:w="3151" w:type="dxa"/>
            <w:shd w:val="clear" w:color="auto" w:fill="F2F2F2" w:themeFill="background1" w:themeFillShade="F2"/>
          </w:tcPr>
          <w:p w:rsidR="00EE6210" w:rsidRPr="00C147E2" w:rsidRDefault="00EE6210" w:rsidP="00EE6210">
            <w:pPr>
              <w:jc w:val="right"/>
            </w:pPr>
            <w:r w:rsidRPr="00C147E2">
              <w:t>$66,000</w:t>
            </w:r>
          </w:p>
        </w:tc>
      </w:tr>
      <w:tr w:rsidR="00EE6210" w:rsidRPr="004D5CE3" w:rsidTr="004D5CE3">
        <w:trPr>
          <w:trHeight w:val="358"/>
        </w:trPr>
        <w:tc>
          <w:tcPr>
            <w:tcW w:w="3151" w:type="dxa"/>
          </w:tcPr>
          <w:p w:rsidR="00EE6210" w:rsidRPr="00EE6210" w:rsidRDefault="00EE6210" w:rsidP="00EE6210">
            <w:pPr>
              <w:rPr>
                <w:b/>
              </w:rPr>
            </w:pPr>
            <w:r w:rsidRPr="00EE6210">
              <w:rPr>
                <w:b/>
              </w:rPr>
              <w:t xml:space="preserve">Augusta-Margaret River </w:t>
            </w:r>
          </w:p>
        </w:tc>
        <w:tc>
          <w:tcPr>
            <w:tcW w:w="3151" w:type="dxa"/>
          </w:tcPr>
          <w:p w:rsidR="00EE6210" w:rsidRPr="00C147E2" w:rsidRDefault="00EE6210" w:rsidP="00EE6210">
            <w:r w:rsidRPr="00C147E2">
              <w:t>Stevens Rd</w:t>
            </w:r>
          </w:p>
        </w:tc>
        <w:tc>
          <w:tcPr>
            <w:tcW w:w="3151" w:type="dxa"/>
          </w:tcPr>
          <w:p w:rsidR="00EE6210" w:rsidRPr="00C147E2" w:rsidRDefault="00EE6210" w:rsidP="00EE6210">
            <w:pPr>
              <w:jc w:val="right"/>
            </w:pPr>
            <w:r w:rsidRPr="00C147E2">
              <w:t>$364,000</w:t>
            </w:r>
          </w:p>
        </w:tc>
      </w:tr>
      <w:tr w:rsidR="00EE6210" w:rsidRPr="004D5CE3" w:rsidTr="004D5CE3">
        <w:trPr>
          <w:trHeight w:val="384"/>
        </w:trPr>
        <w:tc>
          <w:tcPr>
            <w:tcW w:w="3151" w:type="dxa"/>
            <w:shd w:val="clear" w:color="auto" w:fill="F2F2F2" w:themeFill="background1" w:themeFillShade="F2"/>
          </w:tcPr>
          <w:p w:rsidR="00EE6210" w:rsidRPr="00EE6210" w:rsidRDefault="00EE6210" w:rsidP="00EE6210">
            <w:pPr>
              <w:rPr>
                <w:b/>
              </w:rPr>
            </w:pPr>
            <w:r w:rsidRPr="00EE6210">
              <w:rPr>
                <w:b/>
              </w:rPr>
              <w:t>Beverley</w:t>
            </w:r>
          </w:p>
        </w:tc>
        <w:tc>
          <w:tcPr>
            <w:tcW w:w="3151" w:type="dxa"/>
            <w:shd w:val="clear" w:color="auto" w:fill="F2F2F2" w:themeFill="background1" w:themeFillShade="F2"/>
          </w:tcPr>
          <w:p w:rsidR="00EE6210" w:rsidRPr="00C147E2" w:rsidRDefault="00EE6210" w:rsidP="00EE6210">
            <w:proofErr w:type="spellStart"/>
            <w:r w:rsidRPr="00C147E2">
              <w:t>Dongadilling</w:t>
            </w:r>
            <w:proofErr w:type="spellEnd"/>
            <w:r w:rsidRPr="00C147E2">
              <w:t xml:space="preserve"> Rd</w:t>
            </w:r>
          </w:p>
        </w:tc>
        <w:tc>
          <w:tcPr>
            <w:tcW w:w="3151" w:type="dxa"/>
            <w:shd w:val="clear" w:color="auto" w:fill="F2F2F2" w:themeFill="background1" w:themeFillShade="F2"/>
          </w:tcPr>
          <w:p w:rsidR="00EE6210" w:rsidRPr="00C147E2" w:rsidRDefault="00EE6210" w:rsidP="00EE6210">
            <w:pPr>
              <w:jc w:val="right"/>
            </w:pPr>
            <w:r w:rsidRPr="00C147E2">
              <w:t>$38,000</w:t>
            </w:r>
          </w:p>
        </w:tc>
      </w:tr>
      <w:tr w:rsidR="00EE6210" w:rsidRPr="004D5CE3" w:rsidTr="004D5CE3">
        <w:trPr>
          <w:trHeight w:val="358"/>
        </w:trPr>
        <w:tc>
          <w:tcPr>
            <w:tcW w:w="3151" w:type="dxa"/>
          </w:tcPr>
          <w:p w:rsidR="00EE6210" w:rsidRPr="00EE6210" w:rsidRDefault="00EE6210" w:rsidP="00EE6210">
            <w:pPr>
              <w:rPr>
                <w:b/>
              </w:rPr>
            </w:pPr>
            <w:r w:rsidRPr="00EE6210">
              <w:rPr>
                <w:b/>
              </w:rPr>
              <w:t>Boyup Brook</w:t>
            </w:r>
          </w:p>
        </w:tc>
        <w:tc>
          <w:tcPr>
            <w:tcW w:w="3151" w:type="dxa"/>
          </w:tcPr>
          <w:p w:rsidR="00EE6210" w:rsidRPr="00C147E2" w:rsidRDefault="00EE6210" w:rsidP="00EE6210">
            <w:proofErr w:type="spellStart"/>
            <w:r w:rsidRPr="00C147E2">
              <w:t>Winnejup</w:t>
            </w:r>
            <w:proofErr w:type="spellEnd"/>
            <w:r w:rsidRPr="00C147E2">
              <w:t xml:space="preserve"> Rd</w:t>
            </w:r>
          </w:p>
        </w:tc>
        <w:tc>
          <w:tcPr>
            <w:tcW w:w="3151" w:type="dxa"/>
          </w:tcPr>
          <w:p w:rsidR="00EE6210" w:rsidRPr="00C147E2" w:rsidRDefault="00EE6210" w:rsidP="00EE6210">
            <w:pPr>
              <w:jc w:val="right"/>
            </w:pPr>
            <w:r w:rsidRPr="00C147E2">
              <w:t>$464,000</w:t>
            </w:r>
          </w:p>
        </w:tc>
      </w:tr>
      <w:tr w:rsidR="00EE6210" w:rsidRPr="004D5CE3" w:rsidTr="004D5CE3">
        <w:trPr>
          <w:trHeight w:val="384"/>
        </w:trPr>
        <w:tc>
          <w:tcPr>
            <w:tcW w:w="3151" w:type="dxa"/>
            <w:shd w:val="clear" w:color="auto" w:fill="F2F2F2" w:themeFill="background1" w:themeFillShade="F2"/>
          </w:tcPr>
          <w:p w:rsidR="00EE6210" w:rsidRPr="00EE6210" w:rsidRDefault="00EE6210" w:rsidP="00EE6210">
            <w:pPr>
              <w:rPr>
                <w:b/>
              </w:rPr>
            </w:pPr>
            <w:r w:rsidRPr="00EE6210">
              <w:rPr>
                <w:b/>
              </w:rPr>
              <w:t xml:space="preserve">Bridgetown-Greenbushes </w:t>
            </w:r>
          </w:p>
        </w:tc>
        <w:tc>
          <w:tcPr>
            <w:tcW w:w="3151" w:type="dxa"/>
            <w:shd w:val="clear" w:color="auto" w:fill="F2F2F2" w:themeFill="background1" w:themeFillShade="F2"/>
          </w:tcPr>
          <w:p w:rsidR="00EE6210" w:rsidRPr="00C147E2" w:rsidRDefault="00EE6210" w:rsidP="00EE6210">
            <w:proofErr w:type="spellStart"/>
            <w:r w:rsidRPr="00C147E2">
              <w:t>Winnejup</w:t>
            </w:r>
            <w:proofErr w:type="spellEnd"/>
            <w:r w:rsidRPr="00C147E2">
              <w:t xml:space="preserve"> Rd</w:t>
            </w:r>
          </w:p>
        </w:tc>
        <w:tc>
          <w:tcPr>
            <w:tcW w:w="3151" w:type="dxa"/>
            <w:shd w:val="clear" w:color="auto" w:fill="F2F2F2" w:themeFill="background1" w:themeFillShade="F2"/>
          </w:tcPr>
          <w:p w:rsidR="00EE6210" w:rsidRPr="00C147E2" w:rsidRDefault="00EE6210" w:rsidP="00EE6210">
            <w:pPr>
              <w:jc w:val="right"/>
            </w:pPr>
            <w:r w:rsidRPr="00C147E2">
              <w:t>$26,000</w:t>
            </w:r>
          </w:p>
        </w:tc>
      </w:tr>
      <w:tr w:rsidR="00EE6210" w:rsidRPr="004D5CE3" w:rsidTr="004D5CE3">
        <w:trPr>
          <w:trHeight w:val="358"/>
        </w:trPr>
        <w:tc>
          <w:tcPr>
            <w:tcW w:w="3151" w:type="dxa"/>
          </w:tcPr>
          <w:p w:rsidR="00EE6210" w:rsidRPr="00EE6210" w:rsidRDefault="00EE6210" w:rsidP="00EE6210">
            <w:pPr>
              <w:rPr>
                <w:b/>
              </w:rPr>
            </w:pPr>
            <w:r w:rsidRPr="00EE6210">
              <w:rPr>
                <w:b/>
              </w:rPr>
              <w:t xml:space="preserve">Bruce Rock </w:t>
            </w:r>
          </w:p>
        </w:tc>
        <w:tc>
          <w:tcPr>
            <w:tcW w:w="3151" w:type="dxa"/>
          </w:tcPr>
          <w:p w:rsidR="00EE6210" w:rsidRPr="00C147E2" w:rsidRDefault="00EE6210" w:rsidP="00EE6210">
            <w:proofErr w:type="spellStart"/>
            <w:r w:rsidRPr="00C147E2">
              <w:t>Kwolyin</w:t>
            </w:r>
            <w:proofErr w:type="spellEnd"/>
            <w:r w:rsidRPr="00C147E2">
              <w:t xml:space="preserve"> East Rd</w:t>
            </w:r>
          </w:p>
        </w:tc>
        <w:tc>
          <w:tcPr>
            <w:tcW w:w="3151" w:type="dxa"/>
          </w:tcPr>
          <w:p w:rsidR="00EE6210" w:rsidRPr="00C147E2" w:rsidRDefault="00EE6210" w:rsidP="00EE6210">
            <w:pPr>
              <w:jc w:val="right"/>
            </w:pPr>
            <w:r w:rsidRPr="00C147E2">
              <w:t>$176,000</w:t>
            </w:r>
          </w:p>
        </w:tc>
      </w:tr>
      <w:tr w:rsidR="00EE6210" w:rsidRPr="004D5CE3" w:rsidTr="004D5CE3">
        <w:trPr>
          <w:trHeight w:val="384"/>
        </w:trPr>
        <w:tc>
          <w:tcPr>
            <w:tcW w:w="3151" w:type="dxa"/>
            <w:shd w:val="clear" w:color="auto" w:fill="F2F2F2" w:themeFill="background1" w:themeFillShade="F2"/>
          </w:tcPr>
          <w:p w:rsidR="00EE6210" w:rsidRPr="00EE6210" w:rsidRDefault="00EE6210" w:rsidP="00EE6210">
            <w:pPr>
              <w:rPr>
                <w:b/>
              </w:rPr>
            </w:pPr>
            <w:r w:rsidRPr="00EE6210">
              <w:rPr>
                <w:b/>
              </w:rPr>
              <w:t xml:space="preserve">Bruce Rock </w:t>
            </w:r>
          </w:p>
        </w:tc>
        <w:tc>
          <w:tcPr>
            <w:tcW w:w="3151" w:type="dxa"/>
            <w:shd w:val="clear" w:color="auto" w:fill="F2F2F2" w:themeFill="background1" w:themeFillShade="F2"/>
          </w:tcPr>
          <w:p w:rsidR="00EE6210" w:rsidRPr="00C147E2" w:rsidRDefault="00EE6210" w:rsidP="00EE6210">
            <w:r w:rsidRPr="00C147E2">
              <w:t>Strachan Rd</w:t>
            </w:r>
          </w:p>
        </w:tc>
        <w:tc>
          <w:tcPr>
            <w:tcW w:w="3151" w:type="dxa"/>
            <w:shd w:val="clear" w:color="auto" w:fill="F2F2F2" w:themeFill="background1" w:themeFillShade="F2"/>
          </w:tcPr>
          <w:p w:rsidR="00EE6210" w:rsidRPr="00C147E2" w:rsidRDefault="00EE6210" w:rsidP="00EE6210">
            <w:pPr>
              <w:jc w:val="right"/>
            </w:pPr>
            <w:r w:rsidRPr="00C147E2">
              <w:t>$72,000</w:t>
            </w:r>
          </w:p>
        </w:tc>
      </w:tr>
      <w:tr w:rsidR="00EE6210" w:rsidRPr="004D5CE3" w:rsidTr="004D5CE3">
        <w:trPr>
          <w:trHeight w:val="358"/>
        </w:trPr>
        <w:tc>
          <w:tcPr>
            <w:tcW w:w="3151" w:type="dxa"/>
          </w:tcPr>
          <w:p w:rsidR="00EE6210" w:rsidRPr="00EE6210" w:rsidRDefault="00EE6210" w:rsidP="00EE6210">
            <w:pPr>
              <w:rPr>
                <w:b/>
              </w:rPr>
            </w:pPr>
            <w:r w:rsidRPr="00EE6210">
              <w:rPr>
                <w:b/>
              </w:rPr>
              <w:t xml:space="preserve">Bunbury </w:t>
            </w:r>
          </w:p>
        </w:tc>
        <w:tc>
          <w:tcPr>
            <w:tcW w:w="3151" w:type="dxa"/>
          </w:tcPr>
          <w:p w:rsidR="00EE6210" w:rsidRPr="00C147E2" w:rsidRDefault="00EE6210" w:rsidP="00EE6210">
            <w:proofErr w:type="spellStart"/>
            <w:r w:rsidRPr="00C147E2">
              <w:t>Koombana</w:t>
            </w:r>
            <w:proofErr w:type="spellEnd"/>
            <w:r w:rsidRPr="00C147E2">
              <w:t xml:space="preserve"> Dr</w:t>
            </w:r>
          </w:p>
        </w:tc>
        <w:tc>
          <w:tcPr>
            <w:tcW w:w="3151" w:type="dxa"/>
          </w:tcPr>
          <w:p w:rsidR="00EE6210" w:rsidRPr="00C147E2" w:rsidRDefault="00EE6210" w:rsidP="00EE6210">
            <w:pPr>
              <w:jc w:val="right"/>
            </w:pPr>
            <w:r w:rsidRPr="00C147E2">
              <w:t>$36,000</w:t>
            </w:r>
          </w:p>
        </w:tc>
      </w:tr>
      <w:tr w:rsidR="00EE6210" w:rsidRPr="004D5CE3" w:rsidTr="004D5CE3">
        <w:trPr>
          <w:trHeight w:val="384"/>
        </w:trPr>
        <w:tc>
          <w:tcPr>
            <w:tcW w:w="3151" w:type="dxa"/>
            <w:shd w:val="clear" w:color="auto" w:fill="F2F2F2" w:themeFill="background1" w:themeFillShade="F2"/>
          </w:tcPr>
          <w:p w:rsidR="00EE6210" w:rsidRPr="00EE6210" w:rsidRDefault="00EE6210" w:rsidP="00EE6210">
            <w:pPr>
              <w:rPr>
                <w:b/>
              </w:rPr>
            </w:pPr>
            <w:r w:rsidRPr="00EE6210">
              <w:rPr>
                <w:b/>
              </w:rPr>
              <w:t xml:space="preserve">Busselton </w:t>
            </w:r>
          </w:p>
        </w:tc>
        <w:tc>
          <w:tcPr>
            <w:tcW w:w="3151" w:type="dxa"/>
            <w:shd w:val="clear" w:color="auto" w:fill="F2F2F2" w:themeFill="background1" w:themeFillShade="F2"/>
          </w:tcPr>
          <w:p w:rsidR="00EE6210" w:rsidRPr="00C147E2" w:rsidRDefault="00EE6210" w:rsidP="00EE6210">
            <w:r w:rsidRPr="00C147E2">
              <w:t>Metricup Rd</w:t>
            </w:r>
          </w:p>
        </w:tc>
        <w:tc>
          <w:tcPr>
            <w:tcW w:w="3151" w:type="dxa"/>
            <w:shd w:val="clear" w:color="auto" w:fill="F2F2F2" w:themeFill="background1" w:themeFillShade="F2"/>
          </w:tcPr>
          <w:p w:rsidR="00EE6210" w:rsidRPr="00C147E2" w:rsidRDefault="00EE6210" w:rsidP="00EE6210">
            <w:pPr>
              <w:jc w:val="right"/>
            </w:pPr>
            <w:r w:rsidRPr="00C147E2">
              <w:t>$608,000</w:t>
            </w:r>
          </w:p>
        </w:tc>
      </w:tr>
      <w:tr w:rsidR="00EE6210" w:rsidRPr="004D5CE3" w:rsidTr="004D5CE3">
        <w:trPr>
          <w:trHeight w:val="358"/>
        </w:trPr>
        <w:tc>
          <w:tcPr>
            <w:tcW w:w="3151" w:type="dxa"/>
          </w:tcPr>
          <w:p w:rsidR="00EE6210" w:rsidRPr="00EE6210" w:rsidRDefault="00EE6210" w:rsidP="00EE6210">
            <w:pPr>
              <w:rPr>
                <w:b/>
              </w:rPr>
            </w:pPr>
            <w:r w:rsidRPr="00EE6210">
              <w:rPr>
                <w:b/>
              </w:rPr>
              <w:t xml:space="preserve">Busselton </w:t>
            </w:r>
          </w:p>
        </w:tc>
        <w:tc>
          <w:tcPr>
            <w:tcW w:w="3151" w:type="dxa"/>
          </w:tcPr>
          <w:p w:rsidR="00EE6210" w:rsidRPr="00C147E2" w:rsidRDefault="00EE6210" w:rsidP="00EE6210">
            <w:r w:rsidRPr="00C147E2">
              <w:t xml:space="preserve">Ludlow </w:t>
            </w:r>
            <w:proofErr w:type="spellStart"/>
            <w:r w:rsidRPr="00C147E2">
              <w:t>Hithergreen</w:t>
            </w:r>
            <w:proofErr w:type="spellEnd"/>
            <w:r w:rsidRPr="00C147E2">
              <w:t xml:space="preserve"> Rd</w:t>
            </w:r>
          </w:p>
        </w:tc>
        <w:tc>
          <w:tcPr>
            <w:tcW w:w="3151" w:type="dxa"/>
          </w:tcPr>
          <w:p w:rsidR="00EE6210" w:rsidRPr="00C147E2" w:rsidRDefault="00EE6210" w:rsidP="00EE6210">
            <w:pPr>
              <w:jc w:val="right"/>
            </w:pPr>
            <w:r w:rsidRPr="00C147E2">
              <w:t>$106,000</w:t>
            </w:r>
          </w:p>
        </w:tc>
      </w:tr>
      <w:tr w:rsidR="00EE6210" w:rsidRPr="004D5CE3" w:rsidTr="004D5CE3">
        <w:trPr>
          <w:trHeight w:val="384"/>
        </w:trPr>
        <w:tc>
          <w:tcPr>
            <w:tcW w:w="3151" w:type="dxa"/>
            <w:shd w:val="clear" w:color="auto" w:fill="F2F2F2" w:themeFill="background1" w:themeFillShade="F2"/>
          </w:tcPr>
          <w:p w:rsidR="00EE6210" w:rsidRPr="00EE6210" w:rsidRDefault="00EE6210" w:rsidP="00EE6210">
            <w:pPr>
              <w:rPr>
                <w:b/>
              </w:rPr>
            </w:pPr>
            <w:r w:rsidRPr="00EE6210">
              <w:rPr>
                <w:b/>
              </w:rPr>
              <w:t xml:space="preserve">Canning </w:t>
            </w:r>
          </w:p>
        </w:tc>
        <w:tc>
          <w:tcPr>
            <w:tcW w:w="3151" w:type="dxa"/>
            <w:shd w:val="clear" w:color="auto" w:fill="F2F2F2" w:themeFill="background1" w:themeFillShade="F2"/>
          </w:tcPr>
          <w:p w:rsidR="00EE6210" w:rsidRPr="00C147E2" w:rsidRDefault="00EE6210" w:rsidP="00EE6210">
            <w:r w:rsidRPr="00C147E2">
              <w:t>Fern Rd</w:t>
            </w:r>
          </w:p>
        </w:tc>
        <w:tc>
          <w:tcPr>
            <w:tcW w:w="3151" w:type="dxa"/>
            <w:shd w:val="clear" w:color="auto" w:fill="F2F2F2" w:themeFill="background1" w:themeFillShade="F2"/>
          </w:tcPr>
          <w:p w:rsidR="00EE6210" w:rsidRPr="00C147E2" w:rsidRDefault="00EE6210" w:rsidP="00EE6210">
            <w:pPr>
              <w:jc w:val="right"/>
            </w:pPr>
            <w:r w:rsidRPr="00C147E2">
              <w:t>$400,000</w:t>
            </w:r>
          </w:p>
        </w:tc>
      </w:tr>
      <w:tr w:rsidR="00EE6210" w:rsidRPr="004D5CE3" w:rsidTr="004D5CE3">
        <w:trPr>
          <w:trHeight w:val="358"/>
        </w:trPr>
        <w:tc>
          <w:tcPr>
            <w:tcW w:w="3151" w:type="dxa"/>
          </w:tcPr>
          <w:p w:rsidR="00EE6210" w:rsidRPr="00EE6210" w:rsidRDefault="00EE6210" w:rsidP="00EE6210">
            <w:pPr>
              <w:rPr>
                <w:b/>
              </w:rPr>
            </w:pPr>
            <w:r w:rsidRPr="00EE6210">
              <w:rPr>
                <w:b/>
              </w:rPr>
              <w:t xml:space="preserve">Capel </w:t>
            </w:r>
          </w:p>
        </w:tc>
        <w:tc>
          <w:tcPr>
            <w:tcW w:w="3151" w:type="dxa"/>
          </w:tcPr>
          <w:p w:rsidR="00EE6210" w:rsidRPr="00C147E2" w:rsidRDefault="00EE6210" w:rsidP="00EE6210">
            <w:r w:rsidRPr="00C147E2">
              <w:t>Dardanup West Rd</w:t>
            </w:r>
          </w:p>
        </w:tc>
        <w:tc>
          <w:tcPr>
            <w:tcW w:w="3151" w:type="dxa"/>
          </w:tcPr>
          <w:p w:rsidR="00EE6210" w:rsidRDefault="00EE6210" w:rsidP="00EE6210">
            <w:pPr>
              <w:jc w:val="right"/>
            </w:pPr>
            <w:r w:rsidRPr="00C147E2">
              <w:t>$138,000</w:t>
            </w:r>
          </w:p>
        </w:tc>
      </w:tr>
      <w:tr w:rsidR="00EF54D3" w:rsidRPr="004D5CE3" w:rsidTr="004D5CE3">
        <w:trPr>
          <w:trHeight w:val="384"/>
        </w:trPr>
        <w:tc>
          <w:tcPr>
            <w:tcW w:w="3151" w:type="dxa"/>
            <w:shd w:val="clear" w:color="auto" w:fill="F2F2F2" w:themeFill="background1" w:themeFillShade="F2"/>
          </w:tcPr>
          <w:p w:rsidR="00EF54D3" w:rsidRPr="00EE6210" w:rsidRDefault="00EF54D3" w:rsidP="00EF54D3">
            <w:pPr>
              <w:pStyle w:val="tabletext"/>
              <w:rPr>
                <w:b/>
              </w:rPr>
            </w:pPr>
            <w:r w:rsidRPr="00EE6210">
              <w:rPr>
                <w:b/>
              </w:rPr>
              <w:t xml:space="preserve">Capel </w:t>
            </w:r>
          </w:p>
        </w:tc>
        <w:tc>
          <w:tcPr>
            <w:tcW w:w="3151" w:type="dxa"/>
            <w:shd w:val="clear" w:color="auto" w:fill="F2F2F2" w:themeFill="background1" w:themeFillShade="F2"/>
          </w:tcPr>
          <w:p w:rsidR="00EF54D3" w:rsidRPr="004D5CE3" w:rsidRDefault="00EF54D3" w:rsidP="00EF54D3">
            <w:pPr>
              <w:pStyle w:val="tabletext"/>
            </w:pPr>
            <w:proofErr w:type="spellStart"/>
            <w:r w:rsidRPr="004D5CE3">
              <w:t>Mallokup</w:t>
            </w:r>
            <w:proofErr w:type="spellEnd"/>
            <w:r w:rsidRPr="004D5CE3">
              <w:t xml:space="preserve"> Rd</w:t>
            </w:r>
          </w:p>
        </w:tc>
        <w:tc>
          <w:tcPr>
            <w:tcW w:w="3151" w:type="dxa"/>
            <w:shd w:val="clear" w:color="auto" w:fill="F2F2F2" w:themeFill="background1" w:themeFillShade="F2"/>
          </w:tcPr>
          <w:p w:rsidR="00EF54D3" w:rsidRPr="004D5CE3" w:rsidRDefault="00EF54D3" w:rsidP="00EF54D3">
            <w:pPr>
              <w:pStyle w:val="tabletext"/>
              <w:jc w:val="right"/>
            </w:pPr>
            <w:r w:rsidRPr="004D5CE3">
              <w:t>$56,000</w:t>
            </w:r>
          </w:p>
        </w:tc>
      </w:tr>
      <w:tr w:rsidR="00EF54D3" w:rsidRPr="004D5CE3" w:rsidTr="004D5CE3">
        <w:trPr>
          <w:trHeight w:val="358"/>
        </w:trPr>
        <w:tc>
          <w:tcPr>
            <w:tcW w:w="3151" w:type="dxa"/>
          </w:tcPr>
          <w:p w:rsidR="00EF54D3" w:rsidRPr="004D5CE3" w:rsidRDefault="00EF54D3" w:rsidP="00EF54D3">
            <w:pPr>
              <w:pStyle w:val="tabletext"/>
              <w:rPr>
                <w:b/>
              </w:rPr>
            </w:pPr>
            <w:r w:rsidRPr="004D5CE3">
              <w:rPr>
                <w:b/>
              </w:rPr>
              <w:t xml:space="preserve">Chittering </w:t>
            </w:r>
          </w:p>
        </w:tc>
        <w:tc>
          <w:tcPr>
            <w:tcW w:w="3151" w:type="dxa"/>
          </w:tcPr>
          <w:p w:rsidR="00EF54D3" w:rsidRPr="004D5CE3" w:rsidRDefault="00EF54D3" w:rsidP="00EF54D3">
            <w:pPr>
              <w:pStyle w:val="tabletext"/>
            </w:pPr>
            <w:r w:rsidRPr="004D5CE3">
              <w:t>Flat Rocks Rd</w:t>
            </w:r>
          </w:p>
        </w:tc>
        <w:tc>
          <w:tcPr>
            <w:tcW w:w="3151" w:type="dxa"/>
          </w:tcPr>
          <w:p w:rsidR="00EF54D3" w:rsidRPr="004D5CE3" w:rsidRDefault="00EF54D3" w:rsidP="00EF54D3">
            <w:pPr>
              <w:pStyle w:val="tabletext"/>
              <w:jc w:val="right"/>
            </w:pPr>
            <w:r w:rsidRPr="004D5CE3">
              <w:t>$40,000</w:t>
            </w:r>
          </w:p>
        </w:tc>
      </w:tr>
      <w:tr w:rsidR="00EF54D3" w:rsidRPr="004D5CE3" w:rsidTr="004D5CE3">
        <w:trPr>
          <w:trHeight w:val="384"/>
        </w:trPr>
        <w:tc>
          <w:tcPr>
            <w:tcW w:w="3151" w:type="dxa"/>
            <w:shd w:val="clear" w:color="auto" w:fill="F2F2F2" w:themeFill="background1" w:themeFillShade="F2"/>
          </w:tcPr>
          <w:p w:rsidR="00EF54D3" w:rsidRPr="004D5CE3" w:rsidRDefault="00EF54D3" w:rsidP="00EF54D3">
            <w:pPr>
              <w:pStyle w:val="tabletext"/>
              <w:rPr>
                <w:b/>
              </w:rPr>
            </w:pPr>
            <w:r w:rsidRPr="004D5CE3">
              <w:rPr>
                <w:b/>
              </w:rPr>
              <w:t xml:space="preserve">Cranbrook </w:t>
            </w:r>
          </w:p>
        </w:tc>
        <w:tc>
          <w:tcPr>
            <w:tcW w:w="3151" w:type="dxa"/>
            <w:shd w:val="clear" w:color="auto" w:fill="F2F2F2" w:themeFill="background1" w:themeFillShade="F2"/>
          </w:tcPr>
          <w:p w:rsidR="00EF54D3" w:rsidRPr="004D5CE3" w:rsidRDefault="00EF54D3" w:rsidP="00EF54D3">
            <w:pPr>
              <w:pStyle w:val="tabletext"/>
            </w:pPr>
            <w:r w:rsidRPr="004D5CE3">
              <w:t>Kojonup - Frankland Rd</w:t>
            </w:r>
          </w:p>
        </w:tc>
        <w:tc>
          <w:tcPr>
            <w:tcW w:w="3151" w:type="dxa"/>
            <w:shd w:val="clear" w:color="auto" w:fill="F2F2F2" w:themeFill="background1" w:themeFillShade="F2"/>
          </w:tcPr>
          <w:p w:rsidR="00EF54D3" w:rsidRPr="004D5CE3" w:rsidRDefault="00EF54D3" w:rsidP="00EF54D3">
            <w:pPr>
              <w:pStyle w:val="tabletext"/>
              <w:jc w:val="right"/>
            </w:pPr>
            <w:r w:rsidRPr="004D5CE3">
              <w:t>$260,000</w:t>
            </w:r>
          </w:p>
        </w:tc>
      </w:tr>
      <w:tr w:rsidR="00EF54D3" w:rsidRPr="004D5CE3" w:rsidTr="004D5CE3">
        <w:trPr>
          <w:trHeight w:val="358"/>
        </w:trPr>
        <w:tc>
          <w:tcPr>
            <w:tcW w:w="3151" w:type="dxa"/>
          </w:tcPr>
          <w:p w:rsidR="00EF54D3" w:rsidRPr="004D5CE3" w:rsidRDefault="00EF54D3" w:rsidP="00EF54D3">
            <w:pPr>
              <w:pStyle w:val="tabletext"/>
              <w:rPr>
                <w:b/>
              </w:rPr>
            </w:pPr>
            <w:r w:rsidRPr="004D5CE3">
              <w:rPr>
                <w:b/>
              </w:rPr>
              <w:t xml:space="preserve">Denmark </w:t>
            </w:r>
          </w:p>
        </w:tc>
        <w:tc>
          <w:tcPr>
            <w:tcW w:w="3151" w:type="dxa"/>
          </w:tcPr>
          <w:p w:rsidR="00EF54D3" w:rsidRPr="004D5CE3" w:rsidRDefault="00EF54D3" w:rsidP="00EF54D3">
            <w:pPr>
              <w:pStyle w:val="tabletext"/>
            </w:pPr>
            <w:proofErr w:type="spellStart"/>
            <w:r w:rsidRPr="004D5CE3">
              <w:t>McNess</w:t>
            </w:r>
            <w:proofErr w:type="spellEnd"/>
            <w:r w:rsidRPr="004D5CE3">
              <w:t xml:space="preserve"> Rd</w:t>
            </w:r>
          </w:p>
        </w:tc>
        <w:tc>
          <w:tcPr>
            <w:tcW w:w="3151" w:type="dxa"/>
          </w:tcPr>
          <w:p w:rsidR="00EF54D3" w:rsidRPr="004D5CE3" w:rsidRDefault="00EF54D3" w:rsidP="00EF54D3">
            <w:pPr>
              <w:pStyle w:val="tabletext"/>
              <w:jc w:val="right"/>
            </w:pPr>
            <w:r w:rsidRPr="004D5CE3">
              <w:t>$300,000</w:t>
            </w:r>
          </w:p>
        </w:tc>
      </w:tr>
      <w:tr w:rsidR="00EF54D3" w:rsidRPr="004D5CE3" w:rsidTr="004D5CE3">
        <w:trPr>
          <w:trHeight w:val="384"/>
        </w:trPr>
        <w:tc>
          <w:tcPr>
            <w:tcW w:w="3151" w:type="dxa"/>
            <w:shd w:val="clear" w:color="auto" w:fill="F2F2F2" w:themeFill="background1" w:themeFillShade="F2"/>
          </w:tcPr>
          <w:p w:rsidR="00EF54D3" w:rsidRPr="004D5CE3" w:rsidRDefault="00EF54D3" w:rsidP="00EF54D3">
            <w:pPr>
              <w:pStyle w:val="tabletext"/>
              <w:rPr>
                <w:b/>
              </w:rPr>
            </w:pPr>
            <w:r w:rsidRPr="004D5CE3">
              <w:rPr>
                <w:b/>
              </w:rPr>
              <w:t xml:space="preserve">Donnybrook-Balingup </w:t>
            </w:r>
          </w:p>
        </w:tc>
        <w:tc>
          <w:tcPr>
            <w:tcW w:w="3151" w:type="dxa"/>
            <w:shd w:val="clear" w:color="auto" w:fill="F2F2F2" w:themeFill="background1" w:themeFillShade="F2"/>
          </w:tcPr>
          <w:p w:rsidR="00EF54D3" w:rsidRPr="004D5CE3" w:rsidRDefault="00EF54D3" w:rsidP="00EF54D3">
            <w:pPr>
              <w:pStyle w:val="tabletext"/>
            </w:pPr>
            <w:r w:rsidRPr="004D5CE3">
              <w:t>Trevena Rd</w:t>
            </w:r>
          </w:p>
        </w:tc>
        <w:tc>
          <w:tcPr>
            <w:tcW w:w="3151" w:type="dxa"/>
            <w:shd w:val="clear" w:color="auto" w:fill="F2F2F2" w:themeFill="background1" w:themeFillShade="F2"/>
          </w:tcPr>
          <w:p w:rsidR="00EF54D3" w:rsidRPr="004D5CE3" w:rsidRDefault="00EF54D3" w:rsidP="00EF54D3">
            <w:pPr>
              <w:pStyle w:val="tabletext"/>
              <w:jc w:val="right"/>
            </w:pPr>
            <w:r w:rsidRPr="004D5CE3">
              <w:t>$32,000</w:t>
            </w:r>
          </w:p>
        </w:tc>
      </w:tr>
      <w:tr w:rsidR="00EF54D3" w:rsidRPr="004D5CE3" w:rsidTr="004D5CE3">
        <w:trPr>
          <w:trHeight w:val="358"/>
        </w:trPr>
        <w:tc>
          <w:tcPr>
            <w:tcW w:w="3151" w:type="dxa"/>
          </w:tcPr>
          <w:p w:rsidR="00EF54D3" w:rsidRPr="004D5CE3" w:rsidRDefault="00EF54D3" w:rsidP="00EF54D3">
            <w:pPr>
              <w:pStyle w:val="tabletext"/>
              <w:rPr>
                <w:b/>
              </w:rPr>
            </w:pPr>
            <w:r w:rsidRPr="004D5CE3">
              <w:rPr>
                <w:b/>
              </w:rPr>
              <w:t xml:space="preserve">Gosnells </w:t>
            </w:r>
          </w:p>
        </w:tc>
        <w:tc>
          <w:tcPr>
            <w:tcW w:w="3151" w:type="dxa"/>
          </w:tcPr>
          <w:p w:rsidR="00EF54D3" w:rsidRPr="004D5CE3" w:rsidRDefault="00EF54D3" w:rsidP="00EF54D3">
            <w:pPr>
              <w:pStyle w:val="tabletext"/>
            </w:pPr>
            <w:r w:rsidRPr="004D5CE3">
              <w:t>Station St</w:t>
            </w:r>
          </w:p>
        </w:tc>
        <w:tc>
          <w:tcPr>
            <w:tcW w:w="3151" w:type="dxa"/>
          </w:tcPr>
          <w:p w:rsidR="00EF54D3" w:rsidRPr="004D5CE3" w:rsidRDefault="00EF54D3" w:rsidP="00EF54D3">
            <w:pPr>
              <w:pStyle w:val="tabletext"/>
              <w:jc w:val="right"/>
            </w:pPr>
            <w:r w:rsidRPr="004D5CE3">
              <w:t>$260,000</w:t>
            </w:r>
          </w:p>
        </w:tc>
      </w:tr>
      <w:tr w:rsidR="00EF54D3" w:rsidRPr="004D5CE3" w:rsidTr="004D5CE3">
        <w:trPr>
          <w:trHeight w:val="384"/>
        </w:trPr>
        <w:tc>
          <w:tcPr>
            <w:tcW w:w="3151" w:type="dxa"/>
            <w:shd w:val="clear" w:color="auto" w:fill="F2F2F2" w:themeFill="background1" w:themeFillShade="F2"/>
          </w:tcPr>
          <w:p w:rsidR="00EF54D3" w:rsidRPr="004D5CE3" w:rsidRDefault="00EF54D3" w:rsidP="00EF54D3">
            <w:pPr>
              <w:pStyle w:val="tabletext"/>
              <w:rPr>
                <w:b/>
              </w:rPr>
            </w:pPr>
            <w:r w:rsidRPr="004D5CE3">
              <w:rPr>
                <w:b/>
              </w:rPr>
              <w:t xml:space="preserve">Kalamunda </w:t>
            </w:r>
          </w:p>
        </w:tc>
        <w:tc>
          <w:tcPr>
            <w:tcW w:w="3151" w:type="dxa"/>
            <w:shd w:val="clear" w:color="auto" w:fill="F2F2F2" w:themeFill="background1" w:themeFillShade="F2"/>
          </w:tcPr>
          <w:p w:rsidR="00EF54D3" w:rsidRPr="004D5CE3" w:rsidRDefault="00EF54D3" w:rsidP="00EF54D3">
            <w:pPr>
              <w:pStyle w:val="tabletext"/>
            </w:pPr>
            <w:r w:rsidRPr="004D5CE3">
              <w:t>Aldersyde Rd</w:t>
            </w:r>
          </w:p>
        </w:tc>
        <w:tc>
          <w:tcPr>
            <w:tcW w:w="3151" w:type="dxa"/>
            <w:shd w:val="clear" w:color="auto" w:fill="F2F2F2" w:themeFill="background1" w:themeFillShade="F2"/>
          </w:tcPr>
          <w:p w:rsidR="00EF54D3" w:rsidRPr="004D5CE3" w:rsidRDefault="00EF54D3" w:rsidP="00EF54D3">
            <w:pPr>
              <w:pStyle w:val="tabletext"/>
              <w:jc w:val="right"/>
            </w:pPr>
            <w:r w:rsidRPr="004D5CE3">
              <w:t>$10,000</w:t>
            </w:r>
          </w:p>
        </w:tc>
      </w:tr>
      <w:tr w:rsidR="00EF54D3" w:rsidRPr="004D5CE3" w:rsidTr="004D5CE3">
        <w:trPr>
          <w:trHeight w:val="358"/>
        </w:trPr>
        <w:tc>
          <w:tcPr>
            <w:tcW w:w="3151" w:type="dxa"/>
          </w:tcPr>
          <w:p w:rsidR="00EF54D3" w:rsidRPr="004D5CE3" w:rsidRDefault="00EF54D3" w:rsidP="00EF54D3">
            <w:pPr>
              <w:pStyle w:val="tabletext"/>
              <w:rPr>
                <w:b/>
              </w:rPr>
            </w:pPr>
            <w:r w:rsidRPr="004D5CE3">
              <w:rPr>
                <w:b/>
              </w:rPr>
              <w:t xml:space="preserve">Kalamunda </w:t>
            </w:r>
          </w:p>
        </w:tc>
        <w:tc>
          <w:tcPr>
            <w:tcW w:w="3151" w:type="dxa"/>
          </w:tcPr>
          <w:p w:rsidR="00EF54D3" w:rsidRPr="004D5CE3" w:rsidRDefault="00EF54D3" w:rsidP="00EF54D3">
            <w:pPr>
              <w:pStyle w:val="tabletext"/>
            </w:pPr>
            <w:r w:rsidRPr="004D5CE3">
              <w:t>Mundaring Weir Rd</w:t>
            </w:r>
          </w:p>
        </w:tc>
        <w:tc>
          <w:tcPr>
            <w:tcW w:w="3151" w:type="dxa"/>
          </w:tcPr>
          <w:p w:rsidR="00EF54D3" w:rsidRPr="004D5CE3" w:rsidRDefault="00EF54D3" w:rsidP="00EF54D3">
            <w:pPr>
              <w:pStyle w:val="tabletext"/>
              <w:jc w:val="right"/>
            </w:pPr>
            <w:r w:rsidRPr="004D5CE3">
              <w:t>$50,000</w:t>
            </w:r>
          </w:p>
        </w:tc>
      </w:tr>
      <w:tr w:rsidR="00EF54D3" w:rsidRPr="004D5CE3" w:rsidTr="004D5CE3">
        <w:trPr>
          <w:trHeight w:val="384"/>
        </w:trPr>
        <w:tc>
          <w:tcPr>
            <w:tcW w:w="3151" w:type="dxa"/>
            <w:shd w:val="clear" w:color="auto" w:fill="F2F2F2" w:themeFill="background1" w:themeFillShade="F2"/>
          </w:tcPr>
          <w:p w:rsidR="00EF54D3" w:rsidRPr="004D5CE3" w:rsidRDefault="00EF54D3" w:rsidP="00EF54D3">
            <w:pPr>
              <w:pStyle w:val="tabletext"/>
              <w:rPr>
                <w:b/>
              </w:rPr>
            </w:pPr>
            <w:r w:rsidRPr="004D5CE3">
              <w:rPr>
                <w:b/>
              </w:rPr>
              <w:t xml:space="preserve">Kalamunda </w:t>
            </w:r>
          </w:p>
        </w:tc>
        <w:tc>
          <w:tcPr>
            <w:tcW w:w="3151" w:type="dxa"/>
            <w:shd w:val="clear" w:color="auto" w:fill="F2F2F2" w:themeFill="background1" w:themeFillShade="F2"/>
          </w:tcPr>
          <w:p w:rsidR="00EF54D3" w:rsidRPr="004D5CE3" w:rsidRDefault="00EF54D3" w:rsidP="00EF54D3">
            <w:pPr>
              <w:pStyle w:val="tabletext"/>
            </w:pPr>
            <w:r w:rsidRPr="004D5CE3">
              <w:t>Mundaring Weir Rd</w:t>
            </w:r>
          </w:p>
        </w:tc>
        <w:tc>
          <w:tcPr>
            <w:tcW w:w="3151" w:type="dxa"/>
            <w:shd w:val="clear" w:color="auto" w:fill="F2F2F2" w:themeFill="background1" w:themeFillShade="F2"/>
          </w:tcPr>
          <w:p w:rsidR="00EF54D3" w:rsidRPr="004D5CE3" w:rsidRDefault="00EF54D3" w:rsidP="00EF54D3">
            <w:pPr>
              <w:pStyle w:val="tabletext"/>
              <w:jc w:val="right"/>
            </w:pPr>
            <w:r w:rsidRPr="004D5CE3">
              <w:t>$150,000</w:t>
            </w:r>
          </w:p>
        </w:tc>
      </w:tr>
      <w:tr w:rsidR="00EF54D3" w:rsidRPr="004D5CE3" w:rsidTr="004D5CE3">
        <w:trPr>
          <w:trHeight w:val="358"/>
        </w:trPr>
        <w:tc>
          <w:tcPr>
            <w:tcW w:w="3151" w:type="dxa"/>
          </w:tcPr>
          <w:p w:rsidR="00EF54D3" w:rsidRPr="004D5CE3" w:rsidRDefault="00EF54D3" w:rsidP="00EF54D3">
            <w:pPr>
              <w:pStyle w:val="tabletext"/>
              <w:rPr>
                <w:b/>
              </w:rPr>
            </w:pPr>
            <w:r w:rsidRPr="004D5CE3">
              <w:rPr>
                <w:b/>
              </w:rPr>
              <w:t xml:space="preserve">Murray </w:t>
            </w:r>
          </w:p>
        </w:tc>
        <w:tc>
          <w:tcPr>
            <w:tcW w:w="3151" w:type="dxa"/>
          </w:tcPr>
          <w:p w:rsidR="00EF54D3" w:rsidRPr="004D5CE3" w:rsidRDefault="00EF54D3" w:rsidP="00EF54D3">
            <w:pPr>
              <w:pStyle w:val="tabletext"/>
            </w:pPr>
            <w:r w:rsidRPr="004D5CE3">
              <w:t>North Yunderup Rd</w:t>
            </w:r>
          </w:p>
        </w:tc>
        <w:tc>
          <w:tcPr>
            <w:tcW w:w="3151" w:type="dxa"/>
          </w:tcPr>
          <w:p w:rsidR="00EF54D3" w:rsidRPr="004D5CE3" w:rsidRDefault="00EF54D3" w:rsidP="00EF54D3">
            <w:pPr>
              <w:pStyle w:val="tabletext"/>
              <w:jc w:val="right"/>
            </w:pPr>
            <w:r w:rsidRPr="004D5CE3">
              <w:t>$194,000</w:t>
            </w:r>
          </w:p>
        </w:tc>
      </w:tr>
      <w:tr w:rsidR="00EF54D3" w:rsidRPr="004D5CE3" w:rsidTr="004D5CE3">
        <w:trPr>
          <w:trHeight w:val="384"/>
        </w:trPr>
        <w:tc>
          <w:tcPr>
            <w:tcW w:w="3151" w:type="dxa"/>
            <w:shd w:val="clear" w:color="auto" w:fill="F2F2F2" w:themeFill="background1" w:themeFillShade="F2"/>
          </w:tcPr>
          <w:p w:rsidR="00EF54D3" w:rsidRPr="004D5CE3" w:rsidRDefault="00EF54D3" w:rsidP="00EF54D3">
            <w:pPr>
              <w:pStyle w:val="tabletext"/>
              <w:rPr>
                <w:b/>
              </w:rPr>
            </w:pPr>
            <w:r w:rsidRPr="004D5CE3">
              <w:rPr>
                <w:b/>
              </w:rPr>
              <w:t xml:space="preserve">Nannup </w:t>
            </w:r>
          </w:p>
        </w:tc>
        <w:tc>
          <w:tcPr>
            <w:tcW w:w="3151" w:type="dxa"/>
            <w:shd w:val="clear" w:color="auto" w:fill="F2F2F2" w:themeFill="background1" w:themeFillShade="F2"/>
          </w:tcPr>
          <w:p w:rsidR="00EF54D3" w:rsidRPr="004D5CE3" w:rsidRDefault="00EF54D3" w:rsidP="00EF54D3">
            <w:pPr>
              <w:pStyle w:val="tabletext"/>
            </w:pPr>
            <w:r w:rsidRPr="004D5CE3">
              <w:t>Sears Rd</w:t>
            </w:r>
          </w:p>
        </w:tc>
        <w:tc>
          <w:tcPr>
            <w:tcW w:w="3151" w:type="dxa"/>
            <w:shd w:val="clear" w:color="auto" w:fill="F2F2F2" w:themeFill="background1" w:themeFillShade="F2"/>
          </w:tcPr>
          <w:p w:rsidR="00EF54D3" w:rsidRPr="004D5CE3" w:rsidRDefault="00EF54D3" w:rsidP="00EF54D3">
            <w:pPr>
              <w:pStyle w:val="tabletext"/>
              <w:jc w:val="right"/>
            </w:pPr>
            <w:r w:rsidRPr="004D5CE3">
              <w:t>$472,000</w:t>
            </w:r>
          </w:p>
        </w:tc>
      </w:tr>
      <w:tr w:rsidR="00EF54D3" w:rsidRPr="004D5CE3" w:rsidTr="004D5CE3">
        <w:trPr>
          <w:trHeight w:val="358"/>
        </w:trPr>
        <w:tc>
          <w:tcPr>
            <w:tcW w:w="3151" w:type="dxa"/>
          </w:tcPr>
          <w:p w:rsidR="00EF54D3" w:rsidRPr="004D5CE3" w:rsidRDefault="00EF54D3" w:rsidP="00EF54D3">
            <w:pPr>
              <w:pStyle w:val="tabletext"/>
              <w:rPr>
                <w:b/>
              </w:rPr>
            </w:pPr>
            <w:r w:rsidRPr="004D5CE3">
              <w:rPr>
                <w:b/>
              </w:rPr>
              <w:t xml:space="preserve">Northam </w:t>
            </w:r>
          </w:p>
        </w:tc>
        <w:tc>
          <w:tcPr>
            <w:tcW w:w="3151" w:type="dxa"/>
          </w:tcPr>
          <w:p w:rsidR="00EF54D3" w:rsidRPr="004D5CE3" w:rsidRDefault="00EF54D3" w:rsidP="00EF54D3">
            <w:pPr>
              <w:pStyle w:val="tabletext"/>
            </w:pPr>
            <w:r w:rsidRPr="004D5CE3">
              <w:t>Yilgarn Av</w:t>
            </w:r>
          </w:p>
        </w:tc>
        <w:tc>
          <w:tcPr>
            <w:tcW w:w="3151" w:type="dxa"/>
          </w:tcPr>
          <w:p w:rsidR="00EF54D3" w:rsidRPr="004D5CE3" w:rsidRDefault="00EF54D3" w:rsidP="00EF54D3">
            <w:pPr>
              <w:pStyle w:val="tabletext"/>
              <w:jc w:val="right"/>
            </w:pPr>
            <w:r w:rsidRPr="004D5CE3">
              <w:t>$40,000</w:t>
            </w:r>
          </w:p>
        </w:tc>
      </w:tr>
      <w:tr w:rsidR="00EF54D3" w:rsidRPr="004D5CE3" w:rsidTr="004D5CE3">
        <w:trPr>
          <w:trHeight w:val="384"/>
        </w:trPr>
        <w:tc>
          <w:tcPr>
            <w:tcW w:w="3151" w:type="dxa"/>
            <w:shd w:val="clear" w:color="auto" w:fill="F2F2F2" w:themeFill="background1" w:themeFillShade="F2"/>
          </w:tcPr>
          <w:p w:rsidR="00EF54D3" w:rsidRPr="004D5CE3" w:rsidRDefault="00EF54D3" w:rsidP="00EF54D3">
            <w:pPr>
              <w:pStyle w:val="tabletext"/>
              <w:rPr>
                <w:b/>
              </w:rPr>
            </w:pPr>
            <w:r w:rsidRPr="004D5CE3">
              <w:rPr>
                <w:b/>
              </w:rPr>
              <w:t xml:space="preserve">Stirling </w:t>
            </w:r>
          </w:p>
        </w:tc>
        <w:tc>
          <w:tcPr>
            <w:tcW w:w="3151" w:type="dxa"/>
            <w:shd w:val="clear" w:color="auto" w:fill="F2F2F2" w:themeFill="background1" w:themeFillShade="F2"/>
          </w:tcPr>
          <w:p w:rsidR="00EF54D3" w:rsidRPr="004D5CE3" w:rsidRDefault="00EF54D3" w:rsidP="00EF54D3">
            <w:pPr>
              <w:pStyle w:val="tabletext"/>
            </w:pPr>
            <w:proofErr w:type="spellStart"/>
            <w:r w:rsidRPr="004D5CE3">
              <w:t>Powis</w:t>
            </w:r>
            <w:proofErr w:type="spellEnd"/>
            <w:r w:rsidRPr="004D5CE3">
              <w:t xml:space="preserve"> St</w:t>
            </w:r>
          </w:p>
        </w:tc>
        <w:tc>
          <w:tcPr>
            <w:tcW w:w="3151" w:type="dxa"/>
            <w:shd w:val="clear" w:color="auto" w:fill="F2F2F2" w:themeFill="background1" w:themeFillShade="F2"/>
          </w:tcPr>
          <w:p w:rsidR="00EF54D3" w:rsidRPr="004D5CE3" w:rsidRDefault="00EF54D3" w:rsidP="00EF54D3">
            <w:pPr>
              <w:pStyle w:val="tabletext"/>
              <w:jc w:val="right"/>
            </w:pPr>
            <w:r w:rsidRPr="004D5CE3">
              <w:t>$90,000</w:t>
            </w:r>
          </w:p>
        </w:tc>
      </w:tr>
      <w:tr w:rsidR="00EF54D3" w:rsidRPr="004D5CE3" w:rsidTr="004D5CE3">
        <w:trPr>
          <w:trHeight w:val="358"/>
        </w:trPr>
        <w:tc>
          <w:tcPr>
            <w:tcW w:w="3151" w:type="dxa"/>
          </w:tcPr>
          <w:p w:rsidR="00EF54D3" w:rsidRPr="004D5CE3" w:rsidRDefault="00EF54D3" w:rsidP="00EF54D3">
            <w:pPr>
              <w:pStyle w:val="tabletext"/>
              <w:rPr>
                <w:b/>
              </w:rPr>
            </w:pPr>
            <w:r w:rsidRPr="004D5CE3">
              <w:rPr>
                <w:b/>
              </w:rPr>
              <w:t xml:space="preserve">Stirling </w:t>
            </w:r>
          </w:p>
        </w:tc>
        <w:tc>
          <w:tcPr>
            <w:tcW w:w="3151" w:type="dxa"/>
          </w:tcPr>
          <w:p w:rsidR="00EF54D3" w:rsidRPr="004D5CE3" w:rsidRDefault="00EF54D3" w:rsidP="00EF54D3">
            <w:pPr>
              <w:pStyle w:val="tabletext"/>
            </w:pPr>
            <w:r w:rsidRPr="004D5CE3">
              <w:t>Dianella Dr</w:t>
            </w:r>
          </w:p>
        </w:tc>
        <w:tc>
          <w:tcPr>
            <w:tcW w:w="3151" w:type="dxa"/>
          </w:tcPr>
          <w:p w:rsidR="00EF54D3" w:rsidRPr="004D5CE3" w:rsidRDefault="00EF54D3" w:rsidP="00EF54D3">
            <w:pPr>
              <w:pStyle w:val="tabletext"/>
              <w:jc w:val="right"/>
            </w:pPr>
            <w:r w:rsidRPr="004D5CE3">
              <w:t>$64,000</w:t>
            </w:r>
          </w:p>
        </w:tc>
      </w:tr>
      <w:tr w:rsidR="00EF54D3" w:rsidRPr="004D5CE3" w:rsidTr="004D5CE3">
        <w:trPr>
          <w:trHeight w:val="384"/>
        </w:trPr>
        <w:tc>
          <w:tcPr>
            <w:tcW w:w="3151" w:type="dxa"/>
            <w:shd w:val="clear" w:color="auto" w:fill="F2F2F2" w:themeFill="background1" w:themeFillShade="F2"/>
          </w:tcPr>
          <w:p w:rsidR="00EF54D3" w:rsidRPr="004D5CE3" w:rsidRDefault="00EF54D3" w:rsidP="00EF54D3">
            <w:pPr>
              <w:pStyle w:val="tabletext"/>
              <w:rPr>
                <w:b/>
              </w:rPr>
            </w:pPr>
            <w:r w:rsidRPr="004D5CE3">
              <w:rPr>
                <w:b/>
              </w:rPr>
              <w:t xml:space="preserve">Swan </w:t>
            </w:r>
          </w:p>
        </w:tc>
        <w:tc>
          <w:tcPr>
            <w:tcW w:w="3151" w:type="dxa"/>
            <w:shd w:val="clear" w:color="auto" w:fill="F2F2F2" w:themeFill="background1" w:themeFillShade="F2"/>
          </w:tcPr>
          <w:p w:rsidR="00EF54D3" w:rsidRPr="004D5CE3" w:rsidRDefault="00EF54D3" w:rsidP="00EF54D3">
            <w:pPr>
              <w:pStyle w:val="tabletext"/>
            </w:pPr>
            <w:r w:rsidRPr="004D5CE3">
              <w:t>Amherst Rd</w:t>
            </w:r>
          </w:p>
        </w:tc>
        <w:tc>
          <w:tcPr>
            <w:tcW w:w="3151" w:type="dxa"/>
            <w:shd w:val="clear" w:color="auto" w:fill="F2F2F2" w:themeFill="background1" w:themeFillShade="F2"/>
          </w:tcPr>
          <w:p w:rsidR="00EF54D3" w:rsidRPr="004D5CE3" w:rsidRDefault="00EF54D3" w:rsidP="00EF54D3">
            <w:pPr>
              <w:pStyle w:val="tabletext"/>
              <w:jc w:val="right"/>
            </w:pPr>
            <w:r w:rsidRPr="004D5CE3">
              <w:t>$30,000</w:t>
            </w:r>
          </w:p>
        </w:tc>
      </w:tr>
      <w:tr w:rsidR="004D5CE3" w:rsidRPr="00333275" w:rsidTr="00333275">
        <w:trPr>
          <w:trHeight w:val="447"/>
        </w:trPr>
        <w:tc>
          <w:tcPr>
            <w:tcW w:w="6302" w:type="dxa"/>
            <w:gridSpan w:val="2"/>
            <w:vAlign w:val="bottom"/>
          </w:tcPr>
          <w:p w:rsidR="004D5CE3" w:rsidRPr="00333275" w:rsidRDefault="004D5CE3" w:rsidP="004D5CE3">
            <w:pPr>
              <w:pStyle w:val="tabletext"/>
              <w:rPr>
                <w:b/>
              </w:rPr>
            </w:pPr>
            <w:r w:rsidRPr="00333275">
              <w:rPr>
                <w:rFonts w:eastAsia="Times New Roman"/>
                <w:b/>
              </w:rPr>
              <w:t>Total Bridge Allocations:</w:t>
            </w:r>
          </w:p>
        </w:tc>
        <w:tc>
          <w:tcPr>
            <w:tcW w:w="3151" w:type="dxa"/>
            <w:vAlign w:val="bottom"/>
          </w:tcPr>
          <w:p w:rsidR="004D5CE3" w:rsidRPr="00333275" w:rsidRDefault="004D5CE3" w:rsidP="004D5CE3">
            <w:pPr>
              <w:pStyle w:val="tabletext"/>
              <w:jc w:val="right"/>
              <w:rPr>
                <w:b/>
              </w:rPr>
            </w:pPr>
            <w:r w:rsidRPr="00333275">
              <w:rPr>
                <w:b/>
              </w:rPr>
              <w:t>$5,014,961</w:t>
            </w:r>
          </w:p>
        </w:tc>
      </w:tr>
    </w:tbl>
    <w:p w:rsidR="00765249" w:rsidRDefault="00765249" w:rsidP="009C0FF5">
      <w:pPr>
        <w:pStyle w:val="BodyText"/>
      </w:pPr>
      <w:r>
        <w:br w:type="page"/>
      </w:r>
    </w:p>
    <w:p w:rsidR="009C0FF5" w:rsidRDefault="009C0FF5" w:rsidP="009C0FF5">
      <w:pPr>
        <w:pStyle w:val="Heading2"/>
      </w:pPr>
      <w:bookmarkStart w:id="89" w:name="_Toc371434446"/>
      <w:bookmarkStart w:id="90" w:name="_Toc410647369"/>
      <w:bookmarkStart w:id="91" w:name="_Toc412713574"/>
      <w:bookmarkStart w:id="92" w:name="_Toc434918444"/>
      <w:r>
        <w:lastRenderedPageBreak/>
        <w:t>Distribution of the 93% Component</w:t>
      </w:r>
      <w:bookmarkEnd w:id="89"/>
      <w:bookmarkEnd w:id="90"/>
      <w:bookmarkEnd w:id="91"/>
      <w:bookmarkEnd w:id="92"/>
    </w:p>
    <w:p w:rsidR="009C0FF5" w:rsidRDefault="009C0FF5" w:rsidP="00501548">
      <w:pPr>
        <w:pStyle w:val="BodyText"/>
        <w:sectPr w:rsidR="009C0FF5" w:rsidSect="00E2512A">
          <w:pgSz w:w="11906" w:h="16838"/>
          <w:pgMar w:top="1418" w:right="1418" w:bottom="1134" w:left="1418" w:header="709" w:footer="709" w:gutter="0"/>
          <w:cols w:space="708"/>
          <w:docGrid w:linePitch="360"/>
        </w:sectPr>
      </w:pPr>
      <w:r w:rsidRPr="000D2EAD">
        <w:t>In 201</w:t>
      </w:r>
      <w:r w:rsidR="004145EC">
        <w:t>5</w:t>
      </w:r>
      <w:r w:rsidRPr="000D2EAD">
        <w:t>-1</w:t>
      </w:r>
      <w:r w:rsidR="004145EC">
        <w:t>6</w:t>
      </w:r>
      <w:r w:rsidRPr="000D2EAD">
        <w:t>, $</w:t>
      </w:r>
      <w:r w:rsidR="004145EC" w:rsidRPr="004145EC">
        <w:t>100,027,206</w:t>
      </w:r>
      <w:r w:rsidRPr="000D2EAD">
        <w:t xml:space="preserve"> will be distributed in accordance with road preservation needs determined by the Commiss</w:t>
      </w:r>
      <w:r w:rsidR="00AD5F2C">
        <w:t>ion’s Asset Preservation Model</w:t>
      </w:r>
      <w:r w:rsidRPr="000D2EAD">
        <w:t xml:space="preserve">. The model assesses the average annual costs of maintaining each local government’s road network and has the facility to equalise road standards through the application of minimum standards. These standards help local governments that have not been able to develop their road systems to the same </w:t>
      </w:r>
      <w:r>
        <w:t>level</w:t>
      </w:r>
      <w:r w:rsidRPr="000D2EAD">
        <w:t xml:space="preserve"> as other mor</w:t>
      </w:r>
      <w:r w:rsidR="00501548">
        <w:t>e established local governments.</w:t>
      </w:r>
    </w:p>
    <w:p w:rsidR="009C0FF5" w:rsidRPr="009755FE" w:rsidRDefault="009C0FF5" w:rsidP="003120D7">
      <w:pPr>
        <w:pStyle w:val="Heading1"/>
        <w:rPr>
          <w:rStyle w:val="Heading1Char"/>
          <w:bCs/>
        </w:rPr>
      </w:pPr>
      <w:bookmarkStart w:id="93" w:name="_Toc367795103"/>
      <w:bookmarkStart w:id="94" w:name="_Toc371434447"/>
      <w:bookmarkStart w:id="95" w:name="_Toc410647370"/>
      <w:bookmarkStart w:id="96" w:name="_Toc412713575"/>
      <w:bookmarkStart w:id="97" w:name="_Toc434918445"/>
      <w:r w:rsidRPr="009755FE">
        <w:rPr>
          <w:rStyle w:val="Heading1Char"/>
          <w:bCs/>
        </w:rPr>
        <w:lastRenderedPageBreak/>
        <w:t>Schedule of General Purpose Grant</w:t>
      </w:r>
      <w:bookmarkEnd w:id="93"/>
      <w:bookmarkEnd w:id="94"/>
      <w:bookmarkEnd w:id="95"/>
      <w:bookmarkEnd w:id="96"/>
      <w:bookmarkEnd w:id="97"/>
    </w:p>
    <w:tbl>
      <w:tblPr>
        <w:tblStyle w:val="PlainTable1"/>
        <w:tblW w:w="15021" w:type="dxa"/>
        <w:tblLook w:val="04A0" w:firstRow="1" w:lastRow="0" w:firstColumn="1" w:lastColumn="0" w:noHBand="0" w:noVBand="1"/>
        <w:tblCaption w:val="Schedule of General Purpose Grants"/>
        <w:tblDescription w:val="Complete Schedule of General purpose Grant Allocations to Local Governments for 2015/16"/>
      </w:tblPr>
      <w:tblGrid>
        <w:gridCol w:w="3114"/>
        <w:gridCol w:w="2063"/>
        <w:gridCol w:w="1760"/>
        <w:gridCol w:w="1620"/>
        <w:gridCol w:w="2495"/>
        <w:gridCol w:w="1843"/>
        <w:gridCol w:w="2126"/>
      </w:tblGrid>
      <w:tr w:rsidR="002A6DA4" w:rsidRPr="002A6DA4" w:rsidTr="00833DAB">
        <w:trPr>
          <w:cnfStyle w:val="100000000000" w:firstRow="1" w:lastRow="0" w:firstColumn="0" w:lastColumn="0" w:oddVBand="0" w:evenVBand="0" w:oddHBand="0" w:evenHBand="0" w:firstRowFirstColumn="0" w:firstRowLastColumn="0" w:lastRowFirstColumn="0" w:lastRowLastColumn="0"/>
          <w:trHeight w:val="891"/>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hideMark/>
          </w:tcPr>
          <w:p w:rsidR="004C17F4" w:rsidRPr="002A6DA4" w:rsidRDefault="004C17F4" w:rsidP="002A6DA4">
            <w:pPr>
              <w:spacing w:before="40" w:after="40" w:line="240" w:lineRule="auto"/>
              <w:rPr>
                <w:rFonts w:eastAsia="Times New Roman"/>
                <w:bCs w:val="0"/>
                <w:color w:val="3C3C3C"/>
              </w:rPr>
            </w:pPr>
            <w:bookmarkStart w:id="98" w:name="_Toc345083582"/>
            <w:r w:rsidRPr="002A6DA4">
              <w:rPr>
                <w:rFonts w:eastAsia="Times New Roman"/>
                <w:bCs w:val="0"/>
                <w:color w:val="3C3C3C"/>
              </w:rPr>
              <w:t>Local Government</w:t>
            </w:r>
          </w:p>
        </w:tc>
        <w:tc>
          <w:tcPr>
            <w:tcW w:w="2063" w:type="dxa"/>
            <w:shd w:val="clear" w:color="auto" w:fill="DBE5F1" w:themeFill="accent1" w:themeFillTint="33"/>
            <w:hideMark/>
          </w:tcPr>
          <w:p w:rsidR="004C17F4" w:rsidRPr="002A6DA4" w:rsidRDefault="004C17F4" w:rsidP="002A6D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2014/15 Final General Purpose Grant</w:t>
            </w:r>
            <w:r w:rsidR="00AD5F2C" w:rsidRPr="002A6DA4">
              <w:rPr>
                <w:rFonts w:eastAsia="Times New Roman"/>
                <w:bCs w:val="0"/>
                <w:color w:val="3C3C3C"/>
              </w:rPr>
              <w:t xml:space="preserve"> ($)</w:t>
            </w:r>
          </w:p>
        </w:tc>
        <w:tc>
          <w:tcPr>
            <w:tcW w:w="1760" w:type="dxa"/>
            <w:shd w:val="clear" w:color="auto" w:fill="DBE5F1" w:themeFill="accent1" w:themeFillTint="33"/>
            <w:hideMark/>
          </w:tcPr>
          <w:p w:rsidR="004C17F4" w:rsidRPr="002A6DA4" w:rsidRDefault="004C17F4" w:rsidP="002A6D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2015/16 Final General Purpose Grant</w:t>
            </w:r>
            <w:r w:rsidR="00AD5F2C" w:rsidRPr="002A6DA4">
              <w:rPr>
                <w:rFonts w:eastAsia="Times New Roman"/>
                <w:bCs w:val="0"/>
                <w:color w:val="3C3C3C"/>
              </w:rPr>
              <w:t xml:space="preserve"> ($)</w:t>
            </w:r>
          </w:p>
        </w:tc>
        <w:tc>
          <w:tcPr>
            <w:tcW w:w="1620" w:type="dxa"/>
            <w:shd w:val="clear" w:color="auto" w:fill="DBE5F1" w:themeFill="accent1" w:themeFillTint="33"/>
            <w:hideMark/>
          </w:tcPr>
          <w:p w:rsidR="004C17F4" w:rsidRPr="002A6DA4" w:rsidRDefault="004C17F4" w:rsidP="002A6D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Percentage Change</w:t>
            </w:r>
          </w:p>
        </w:tc>
        <w:tc>
          <w:tcPr>
            <w:tcW w:w="2495" w:type="dxa"/>
            <w:shd w:val="clear" w:color="auto" w:fill="DBE5F1" w:themeFill="accent1" w:themeFillTint="33"/>
            <w:hideMark/>
          </w:tcPr>
          <w:p w:rsidR="004C17F4" w:rsidRPr="002A6DA4" w:rsidRDefault="004C17F4" w:rsidP="002A6D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2014/15 Adjustment for Overpayment</w:t>
            </w:r>
            <w:r w:rsidR="00AD5F2C" w:rsidRPr="002A6DA4">
              <w:rPr>
                <w:rFonts w:eastAsia="Times New Roman"/>
                <w:bCs w:val="0"/>
                <w:color w:val="3C3C3C"/>
              </w:rPr>
              <w:t xml:space="preserve"> ($)</w:t>
            </w:r>
          </w:p>
        </w:tc>
        <w:tc>
          <w:tcPr>
            <w:tcW w:w="1843" w:type="dxa"/>
            <w:shd w:val="clear" w:color="auto" w:fill="DBE5F1" w:themeFill="accent1" w:themeFillTint="33"/>
            <w:hideMark/>
          </w:tcPr>
          <w:p w:rsidR="004C17F4" w:rsidRPr="002A6DA4" w:rsidRDefault="004C17F4" w:rsidP="002A6D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Advance Payment Paid 30 June 2015</w:t>
            </w:r>
            <w:r w:rsidR="00AD5F2C" w:rsidRPr="002A6DA4">
              <w:rPr>
                <w:rFonts w:eastAsia="Times New Roman"/>
                <w:bCs w:val="0"/>
                <w:color w:val="3C3C3C"/>
              </w:rPr>
              <w:t xml:space="preserve"> ($)</w:t>
            </w:r>
          </w:p>
        </w:tc>
        <w:tc>
          <w:tcPr>
            <w:tcW w:w="2126" w:type="dxa"/>
            <w:shd w:val="clear" w:color="auto" w:fill="DBE5F1" w:themeFill="accent1" w:themeFillTint="33"/>
            <w:hideMark/>
          </w:tcPr>
          <w:p w:rsidR="004C17F4" w:rsidRPr="002A6DA4" w:rsidRDefault="004C17F4" w:rsidP="002A6DA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Balance Paid in 2015/16</w:t>
            </w:r>
            <w:r w:rsidR="00AD5F2C" w:rsidRPr="002A6DA4">
              <w:rPr>
                <w:rFonts w:eastAsia="Times New Roman"/>
                <w:bCs w:val="0"/>
                <w:color w:val="3C3C3C"/>
              </w:rPr>
              <w:t xml:space="preserve"> ($)</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bookmarkStart w:id="99" w:name="RANGE!A7:A144"/>
            <w:r w:rsidRPr="002A6DA4">
              <w:rPr>
                <w:rFonts w:eastAsia="Times New Roman"/>
                <w:b w:val="0"/>
                <w:color w:val="3C3C3C"/>
              </w:rPr>
              <w:t xml:space="preserve">Albany </w:t>
            </w:r>
            <w:bookmarkEnd w:id="99"/>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2,129,306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2,137,732</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0.40%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-15,220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1,070,925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1,051,587</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Armadale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1,817,831</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1,689,593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-7.05%</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-12,994</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914,270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762,329</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Ashburton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3,404,231</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3,404,614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0.01%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-24,334</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1,712,142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1,668,138</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Augusta-Margaret River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271,952</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275,763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-1,944</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136,777</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137,042</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Bassendean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328,849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330,073</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0.37%</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-2,351</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165,393</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162,329</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Bayswater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1,435,203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1,431,830</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-0.24%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-10,259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721,829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699,742</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Belmont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827,813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830,208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0.29%</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-5,917</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416,345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407,946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Beverley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814,114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820,118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0.74%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-5,819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409,455</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404,844</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Boddington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198,479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168,707</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-15.00%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-1,419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99,824</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67,464</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Boyup Brook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469,546</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501,717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6.85%</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-3,356</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236,156</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262,205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Bridgetown-Greenbushes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1,192,980</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1,205,043</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-8,527</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600,004</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596,512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Brookton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594,358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605,614</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-4,248</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298,930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302,436</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Broome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2,058,602</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1,936,748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-5.92%</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-14,715</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1,035,364</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886,669</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Broomehill-Tambellup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1,141,737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1,160,677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1.66%</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-8,161</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574,231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578,285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Bruce Rock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1,481,318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1,512,380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-10,589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745,022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756,769</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Bunbury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694,398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693,563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-0.12%</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-4,964</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349,244</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339,355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Busselton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708,173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720,657</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1.76%</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-5,062</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356,172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359,423</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Cambridge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578,207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574,811</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-0.59%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-4,133</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290,807</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279,871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lastRenderedPageBreak/>
              <w:t xml:space="preserve">Canning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1,989,990</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1,987,085</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-0.15%</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-14,224</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1,000,856</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972,005</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Capel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1,019,671</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1,028,917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0.91%</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-7,289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512,839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508,789</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Carnamah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846,827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855,477</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1.02%</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-6,053</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425,908</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423,516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Carnarvon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3,706,588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3,713,717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0.19%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-26,495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1,864,211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1,823,011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Chapman Valley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324,899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338,448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4.17%</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-2,322</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163,406</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172,720</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Chittering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699,173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725,808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3.81%</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-4,998</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351,646</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369,164</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Claremont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213,939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215,030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0.51%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-1,529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107,600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105,901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Cockburn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2,134,454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2,159,012</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1.15%</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-15,257</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1,073,514</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1,070,241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Collie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1,306,688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1,197,514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-8.36%</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-9,340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657,193</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530,981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Coolgardie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529,134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535,944</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-3,782</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266,126</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266,036</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Coorow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822,479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834,950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1.52%</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-5,879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413,662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415,409</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Corrigin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1,049,096</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1,063,800</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-7,499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527,638</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528,663</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Cottesloe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177,033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176,365</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-0.38%</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-1,265</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89,038</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86,062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Cranbrook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640,287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669,680</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-4,577</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322,029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343,074</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Cuballing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558,025</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562,066</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0.72%</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-3,989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280,656</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277,421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Cue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1,237,948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1,284,146</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3.73%</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-8,849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622,620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652,677</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Cunderdin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876,995</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883,164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0.70%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-6,269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441,081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435,814</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Dalwallinu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1,398,279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1,443,178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3.21%</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-9,995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703,258</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729,925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Dandaragan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744,310</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751,108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0.91%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-5,320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374,347</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371,441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Dardanup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879,859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886,062</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0.70%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-6,289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442,521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437,252</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Denmark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600,901</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589,291</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-1.93%</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-4,295</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302,220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282,776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lastRenderedPageBreak/>
              <w:t xml:space="preserve">Derby-West Kimberley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4,290,128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4,300,393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0.24%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-30,666</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2,157,700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2,112,027</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Donnybrook-Balingup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1,213,078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1,236,180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-8,671</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610,112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617,397</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Dowerin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824,862</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838,623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1.67%</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-5,896</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414,861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417,866</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Dumbleyung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913,566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938,121</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2.69%</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-6,530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459,474</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472,117</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Dundas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1,148,554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1,115,975</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-2.84%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-8,210</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577,660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530,105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East Fremantle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159,768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158,694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-0.67%</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-1,142</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80,355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77,197</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East Pilbara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3,076,692</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2,909,802</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-5.42%</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-21,992</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1,547,408</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1,340,402</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Esperance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2,068,536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2,100,570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1.55%</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-14,786</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1,040,361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1,045,423</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Exmouth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1,478,587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1,482,369</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0.26%</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-10,569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743,649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728,151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Fremantle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626,204</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625,838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-0.06%</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-4,476</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314,946</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306,416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Gingin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875,294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884,638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1.07%</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-6,257</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440,225</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438,156</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Gnowangerup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642,190</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668,163</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4.04%</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-4,590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322,987</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340,586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Goomalling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358,723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362,469</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-2,564</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180,418</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179,487</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Gosnells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2,504,154</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2,512,694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0.34%</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-17,900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1,259,453</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1,235,341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Greater Geraldton*</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3,824,940</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3,844,774</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0.52%</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-27,341</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1,923,736</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1,893,697</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Halls Creek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3,449,016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3,463,542</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0.42%</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-24,654</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1,734,667</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1,704,221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Harvey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1,587,807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1,621,773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-11,350</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798,580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811,843</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Irwin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285,206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242,425</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-15.00%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-2,039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143,443</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96,943</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Jerramungup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584,016</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610,856</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-4,175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293,728</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312,953</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Joondalup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3,461,830</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3,417,416</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-1.28%</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-24,745</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1,741,111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1,651,560</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Kalamunda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1,233,283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1,230,945</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-0.19%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-8,816</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620,274</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601,855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lastRenderedPageBreak/>
              <w:t xml:space="preserve">Kalgoorlie-Boulder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784,616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785,561</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0.12%</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-5,608</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394,619</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385,334</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Karratha</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2,000,228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1,700,193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-15.00%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-14,298</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1,006,005</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679,890</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Katanning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1,471,853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1,481,280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0.64%</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-10,521</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740,262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730,497</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Kellerberrin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1,289,583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1,312,233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1.76%</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-9,218</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648,590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654,425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Kent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536,142</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578,499</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7.90%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-3,832</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269,650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305,017</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Kojonup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728,259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756,173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3.83%</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-5,206</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366,275</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384,692</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Kondinin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889,779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944,706</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6.17%</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-6,360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447,510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490,836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Koorda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1,188,382</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1,197,866</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0.80%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-8,495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597,691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591,680</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Kulin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834,112</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888,721</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6.55%</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-5,962</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419,513</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463,246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Kwinana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710,714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732,471</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3.06%</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-5,080</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357,450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369,941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Lake Grace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970,691</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1,027,020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5.80%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-6,939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488,205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531,876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Laverton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1,551,577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1,555,748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0.27%</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-11,091</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780,359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764,298</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Leonora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597,823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608,338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1.76%</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-4,273</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300,672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303,393</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Mandurah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1,666,304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1,675,919</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0.58%</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-11,911</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838,060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825,948</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Manjimup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2,627,762</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2,687,515</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2.27%</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-18,783</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1,321,621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1,347,111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Meekatharra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2,379,157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2,399,997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0.88%</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-17,006</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1,196,586</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1,186,405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Melville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2,196,081</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2,173,177</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-1.04%</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-15,698</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1,104,509</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1,052,970</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Menzies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1,714,284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1,720,096</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0.34%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-12,254</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862,191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845,651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Merredin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1,478,645</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1,493,371</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-10,569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743,678</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739,124</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Mingenew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270,662</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273,758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-1,935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136,128</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135,695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Moora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764,458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794,047</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3.87%</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-5,464</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384,481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404,102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lastRenderedPageBreak/>
              <w:t xml:space="preserve">Morawa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988,762</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1,003,037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-7,068</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497,293</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498,676</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Mosman Park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196,364</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194,806</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-0.79%</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-1,404</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98,760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94,642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Mount Magnet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1,321,318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1,335,637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1.08%</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-9,445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664,551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661,641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Mount Marshall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1,376,207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1,396,725</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1.49%</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-9,837</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692,157</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694,731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Mukinbudin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1,099,404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1,122,293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2.08%</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-7,859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552,940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561,494</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Mundaring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1,814,316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1,542,169</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-15.00%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-12,969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912,502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616,698</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Murchison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2,562,170</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2,606,200</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1.72%</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-18,314</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1,288,632</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1,299,254</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Murray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1,072,491</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911,618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-15.00%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-7,666</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539,404</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364,548</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Nannup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833,908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840,476</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0.79%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-5,961</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419,410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415,105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Narembeen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1,159,747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1,178,051</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1.58%</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-8,290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583,289</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586,472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Narrogin(S)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577,652</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584,987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1.27%</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-4,129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290,527</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290,331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Narrogin(T)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1,102,863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1,103,848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0.09%</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-7,883</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554,680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541,285</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Nedlands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473,313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471,319</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-0.42%</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-3,383</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238,051</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229,885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Ngaanyatjarraku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3,236,857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3,245,663</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0.27%</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-23,137</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1,627,962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1,594,564</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Northam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2,548,391</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2,572,255</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0.94%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-18,216</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1,281,702</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1,272,337</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Northampton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795,131</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811,683</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2.08%</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-5,684</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399,907</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406,092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Nungarin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908,065</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917,802</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1.07%</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-6,491</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456,707</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454,604</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Peppermint Grove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34,717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34,146</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-1.64%</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-248</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17,461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16,437</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Perenjori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1,016,278</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1,047,260</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3.05%</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-7,264</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511,132</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528,864</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Perth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418,935</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420,738</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0.43%</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-2,995</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210,701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207,042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Pingelly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807,093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823,494</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2.03%</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-5,769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405,924</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411,801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lastRenderedPageBreak/>
              <w:t xml:space="preserve">Plantagenet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692,911</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725,105</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4.65%</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-4,953</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348,496</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371,656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Port Hedland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1,614,886</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1,372,653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-15.00%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-11,543</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812,199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548,911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Quairading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1,097,995</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1,125,056</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2.46%</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-7,848</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552,232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564,976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Ravensthorpe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965,699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1,006,792</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4.26%</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-6,903</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485,694</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514,195</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Rockingham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2,496,038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2,551,116</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-17,842</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1,255,371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1,277,903</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Sandstone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1,492,249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1,501,244</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0.60%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-10,667</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750,520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740,057</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Serpentine-Jarrahdale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1,583,483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1,591,362</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0.50%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-11,319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796,405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783,638</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Shark Bay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1,437,935</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1,454,433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1.15%</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-10,278</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723,203</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720,952</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South Perth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952,348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941,847</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-6,807</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478,979</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456,061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Stirling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4,612,049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4,607,547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-0.10%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-32,967</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2,319,609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2,254,971</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Subiaco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406,709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408,680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0.48%</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-2,907</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204,552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201,221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Swan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2,577,057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2,634,688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-18,421</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1,296,119</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1,320,148</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Tammin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756,527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759,910</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0.45%</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-5,408</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380,492</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374,010</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Three Springs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496,684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517,194</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4.13%</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-3,550</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249,805</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263,839</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Toodyay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937,328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945,579</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0.88%</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-6,700</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471,425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467,454</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Trayning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1,012,227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1,038,930</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-7,235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509,095</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522,600</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Upper Gascoyne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2,647,003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2,686,799</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1.50%</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-18,921</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1,331,298</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1,336,580</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Victoria Park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778,227</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772,798</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-0.70%</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-5,563</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391,406</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375,829</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Victoria Plains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411,665</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445,887</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-2,943</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207,045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235,899</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Vincent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757,781</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755,452</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-0.31%</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-5,417</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381,122</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368,913</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Wagin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898,894</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904,452</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0.62%</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-6,425</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452,095</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445,932</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lastRenderedPageBreak/>
              <w:t xml:space="preserve">Wandering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253,094</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262,501</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3.72%</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-1,809</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127,292</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133,400</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Wanneroo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3,685,187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3,765,545</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2.18%</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-26,342</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1,853,448</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1,885,755</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Waroona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912,365</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914,805</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0.27%</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-6,522</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458,870</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449,413</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West Arthur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405,907</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420,224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3.53%</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-2,901</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204,149</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213,174</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Westonia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703,703</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721,832</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2.58%</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-5,030</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353,924</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362,878</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Wickepin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949,666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976,324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-6,788</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477,630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491,906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Williams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115,435</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123,219</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6.74%</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-825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58,058</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64,336</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Wiluna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1,606,158</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1,662,809</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3.53%</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-11,481</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807,810</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843,518</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Wongan-Ballidu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1,136,909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1,160,603</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2.08%</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-8,127</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571,803</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580,673</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Woodanilling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511,589</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518,784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1.41%</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-3,657</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257,301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257,826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Wyalkatchem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981,015</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1,003,477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-7,012</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493,397</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503,068</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Wyndham-East Kimberley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2,779,660</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2,789,722</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0.36%</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-19,869</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1,398,017</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1,371,836</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Yalgoo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1,707,089</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1,735,957</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1.69%</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-12,202</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858,573</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865,182</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Yilgarn </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715,323</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762,462</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6.59%</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-5,113</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359,768</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397,581</w:t>
            </w:r>
          </w:p>
        </w:tc>
      </w:tr>
      <w:tr w:rsidR="004C17F4"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2A6DA4" w:rsidRDefault="004C17F4" w:rsidP="002A6DA4">
            <w:pPr>
              <w:spacing w:before="40" w:after="40" w:line="240" w:lineRule="auto"/>
              <w:rPr>
                <w:rFonts w:eastAsia="Times New Roman"/>
                <w:b w:val="0"/>
                <w:color w:val="3C3C3C"/>
              </w:rPr>
            </w:pPr>
            <w:r w:rsidRPr="002A6DA4">
              <w:rPr>
                <w:rFonts w:eastAsia="Times New Roman"/>
                <w:b w:val="0"/>
                <w:color w:val="3C3C3C"/>
              </w:rPr>
              <w:t xml:space="preserve">York </w:t>
            </w:r>
          </w:p>
        </w:tc>
        <w:tc>
          <w:tcPr>
            <w:tcW w:w="206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840,061</w:t>
            </w:r>
          </w:p>
        </w:tc>
        <w:tc>
          <w:tcPr>
            <w:tcW w:w="176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847,180</w:t>
            </w:r>
          </w:p>
        </w:tc>
        <w:tc>
          <w:tcPr>
            <w:tcW w:w="1620"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0.85%</w:t>
            </w:r>
          </w:p>
        </w:tc>
        <w:tc>
          <w:tcPr>
            <w:tcW w:w="2495"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-6,005</w:t>
            </w:r>
          </w:p>
        </w:tc>
        <w:tc>
          <w:tcPr>
            <w:tcW w:w="1843"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422,505</w:t>
            </w:r>
          </w:p>
        </w:tc>
        <w:tc>
          <w:tcPr>
            <w:tcW w:w="2126" w:type="dxa"/>
            <w:noWrap/>
            <w:hideMark/>
          </w:tcPr>
          <w:p w:rsidR="004C17F4" w:rsidRPr="002A6DA4" w:rsidRDefault="004C17F4" w:rsidP="002A6DA4">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418,670</w:t>
            </w:r>
          </w:p>
        </w:tc>
      </w:tr>
      <w:tr w:rsidR="004C17F4"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4C17F4" w:rsidRPr="00AC3FDB" w:rsidRDefault="004C17F4" w:rsidP="002A6DA4">
            <w:pPr>
              <w:spacing w:before="40" w:after="40" w:line="240" w:lineRule="auto"/>
              <w:rPr>
                <w:rFonts w:eastAsia="Times New Roman"/>
                <w:bCs w:val="0"/>
                <w:color w:val="3C3C3C"/>
              </w:rPr>
            </w:pPr>
            <w:r w:rsidRPr="00AC3FDB">
              <w:rPr>
                <w:rFonts w:eastAsia="Times New Roman"/>
                <w:bCs w:val="0"/>
                <w:color w:val="3C3C3C"/>
              </w:rPr>
              <w:t>Total</w:t>
            </w:r>
            <w:r w:rsidR="002A6DA4" w:rsidRPr="00AC3FDB">
              <w:rPr>
                <w:rFonts w:eastAsia="Times New Roman"/>
                <w:bCs w:val="0"/>
                <w:color w:val="3C3C3C"/>
              </w:rPr>
              <w:t>:</w:t>
            </w:r>
          </w:p>
        </w:tc>
        <w:tc>
          <w:tcPr>
            <w:tcW w:w="206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173,434,056</w:t>
            </w:r>
          </w:p>
        </w:tc>
        <w:tc>
          <w:tcPr>
            <w:tcW w:w="176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173,830,734</w:t>
            </w:r>
          </w:p>
        </w:tc>
        <w:tc>
          <w:tcPr>
            <w:tcW w:w="1620"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0.23%</w:t>
            </w:r>
          </w:p>
        </w:tc>
        <w:tc>
          <w:tcPr>
            <w:tcW w:w="2495"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-1,239,711</w:t>
            </w:r>
          </w:p>
        </w:tc>
        <w:tc>
          <w:tcPr>
            <w:tcW w:w="1843"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87,227,861</w:t>
            </w:r>
          </w:p>
        </w:tc>
        <w:tc>
          <w:tcPr>
            <w:tcW w:w="2126" w:type="dxa"/>
            <w:noWrap/>
            <w:hideMark/>
          </w:tcPr>
          <w:p w:rsidR="004C17F4" w:rsidRPr="002A6DA4" w:rsidRDefault="004C17F4" w:rsidP="002A6DA4">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85,363,162</w:t>
            </w:r>
          </w:p>
        </w:tc>
      </w:tr>
    </w:tbl>
    <w:p w:rsidR="009C0FF5" w:rsidRPr="00B45216" w:rsidRDefault="009C0FF5" w:rsidP="009C0FF5">
      <w:pPr>
        <w:jc w:val="center"/>
        <w:rPr>
          <w:rFonts w:ascii="Arial Narrow" w:eastAsiaTheme="majorEastAsia" w:hAnsi="Arial Narrow"/>
          <w:sz w:val="22"/>
          <w:szCs w:val="22"/>
        </w:rPr>
      </w:pPr>
      <w:r w:rsidRPr="00B45216">
        <w:rPr>
          <w:rFonts w:ascii="Arial Narrow" w:eastAsiaTheme="majorEastAsia" w:hAnsi="Arial Narrow"/>
          <w:sz w:val="22"/>
          <w:szCs w:val="22"/>
        </w:rPr>
        <w:br w:type="page"/>
      </w:r>
    </w:p>
    <w:p w:rsidR="009C0FF5" w:rsidRPr="009755FE" w:rsidRDefault="009C0FF5" w:rsidP="009755FE">
      <w:pPr>
        <w:pStyle w:val="Heading1"/>
        <w:rPr>
          <w:rStyle w:val="Heading1Char"/>
          <w:bCs/>
        </w:rPr>
      </w:pPr>
      <w:bookmarkStart w:id="100" w:name="_Toc371434448"/>
      <w:bookmarkStart w:id="101" w:name="_Toc410647371"/>
      <w:bookmarkStart w:id="102" w:name="_Toc412713576"/>
      <w:bookmarkStart w:id="103" w:name="_Toc434918446"/>
      <w:r w:rsidRPr="009755FE">
        <w:rPr>
          <w:rStyle w:val="Heading1Char"/>
          <w:bCs/>
        </w:rPr>
        <w:lastRenderedPageBreak/>
        <w:t>Schedule of Local Road Funding</w:t>
      </w:r>
      <w:bookmarkEnd w:id="98"/>
      <w:r w:rsidRPr="009755FE">
        <w:rPr>
          <w:rStyle w:val="Heading1Char"/>
          <w:bCs/>
        </w:rPr>
        <w:t xml:space="preserve"> (Part One)</w:t>
      </w:r>
      <w:bookmarkEnd w:id="100"/>
      <w:bookmarkEnd w:id="101"/>
      <w:bookmarkEnd w:id="102"/>
      <w:bookmarkEnd w:id="103"/>
    </w:p>
    <w:tbl>
      <w:tblPr>
        <w:tblStyle w:val="PlainTable1"/>
        <w:tblW w:w="14755" w:type="dxa"/>
        <w:tblLook w:val="04A0" w:firstRow="1" w:lastRow="0" w:firstColumn="1" w:lastColumn="0" w:noHBand="0" w:noVBand="1"/>
        <w:tblCaption w:val="Schedule of Local Road Funding"/>
        <w:tblDescription w:val="Complete Schedule of Local Road Funding Allocations to Local Governments for 2015/16"/>
      </w:tblPr>
      <w:tblGrid>
        <w:gridCol w:w="3204"/>
        <w:gridCol w:w="1780"/>
        <w:gridCol w:w="1520"/>
        <w:gridCol w:w="1780"/>
        <w:gridCol w:w="1794"/>
        <w:gridCol w:w="1559"/>
        <w:gridCol w:w="1559"/>
        <w:gridCol w:w="1559"/>
      </w:tblGrid>
      <w:tr w:rsidR="008169F9" w:rsidRPr="002A6DA4" w:rsidTr="00833DAB">
        <w:trPr>
          <w:cnfStyle w:val="100000000000" w:firstRow="1" w:lastRow="0" w:firstColumn="0" w:lastColumn="0" w:oddVBand="0" w:evenVBand="0" w:oddHBand="0" w:evenHBand="0" w:firstRowFirstColumn="0" w:firstRowLastColumn="0" w:lastRowFirstColumn="0" w:lastRowLastColumn="0"/>
          <w:trHeight w:val="1023"/>
          <w:tblHeader/>
        </w:trPr>
        <w:tc>
          <w:tcPr>
            <w:cnfStyle w:val="001000000000" w:firstRow="0" w:lastRow="0" w:firstColumn="1" w:lastColumn="0" w:oddVBand="0" w:evenVBand="0" w:oddHBand="0" w:evenHBand="0" w:firstRowFirstColumn="0" w:firstRowLastColumn="0" w:lastRowFirstColumn="0" w:lastRowLastColumn="0"/>
            <w:tcW w:w="3204" w:type="dxa"/>
            <w:shd w:val="clear" w:color="auto" w:fill="FDE9D9" w:themeFill="accent6" w:themeFillTint="33"/>
            <w:hideMark/>
          </w:tcPr>
          <w:p w:rsidR="008169F9" w:rsidRPr="002A6DA4" w:rsidRDefault="008169F9" w:rsidP="006645C7">
            <w:pPr>
              <w:spacing w:before="40" w:after="40" w:line="240" w:lineRule="auto"/>
              <w:rPr>
                <w:rFonts w:eastAsia="Times New Roman"/>
                <w:bCs w:val="0"/>
                <w:color w:val="3C3C3C"/>
              </w:rPr>
            </w:pPr>
            <w:bookmarkStart w:id="104" w:name="_Toc371434449"/>
            <w:r w:rsidRPr="002A6DA4">
              <w:rPr>
                <w:rFonts w:eastAsia="Times New Roman"/>
                <w:bCs w:val="0"/>
                <w:color w:val="3C3C3C"/>
              </w:rPr>
              <w:t>Local Government</w:t>
            </w:r>
          </w:p>
        </w:tc>
        <w:tc>
          <w:tcPr>
            <w:tcW w:w="1780"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2014/15 Final Road Grant ($)</w:t>
            </w:r>
          </w:p>
        </w:tc>
        <w:tc>
          <w:tcPr>
            <w:tcW w:w="1520"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2014/15 Special Projects ($)</w:t>
            </w:r>
          </w:p>
        </w:tc>
        <w:tc>
          <w:tcPr>
            <w:tcW w:w="1780"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Total 2014/15 Roads and Special Projects ($)</w:t>
            </w:r>
          </w:p>
        </w:tc>
        <w:tc>
          <w:tcPr>
            <w:tcW w:w="1794"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2015/16 Final Road Grant ($)</w:t>
            </w:r>
          </w:p>
        </w:tc>
        <w:tc>
          <w:tcPr>
            <w:tcW w:w="1559"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2015/16 Aboriginal Access Roads ($)</w:t>
            </w:r>
          </w:p>
        </w:tc>
        <w:tc>
          <w:tcPr>
            <w:tcW w:w="1559"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2015/16 Bridges ($)</w:t>
            </w:r>
          </w:p>
        </w:tc>
        <w:tc>
          <w:tcPr>
            <w:tcW w:w="1559"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bCs w:val="0"/>
                <w:color w:val="3C3C3C"/>
              </w:rPr>
              <w:t>Total 2015/16 Special Projects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Albany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1,721,905</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1,721,905</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1,711,117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58,000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58,000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Armadale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1,231,081</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106,000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1,337,081</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1,255,137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480,961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480,961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Ashburton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1,305,340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1,305,340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1,292,978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8,000 </w:t>
            </w:r>
          </w:p>
        </w:tc>
        <w:tc>
          <w:tcPr>
            <w:tcW w:w="1559" w:type="dxa"/>
            <w:noWrap/>
            <w:hideMark/>
          </w:tcPr>
          <w:p w:rsidR="008169F9" w:rsidRPr="002A6DA4" w:rsidRDefault="008169F9" w:rsidP="006645C7">
            <w:pPr>
              <w:tabs>
                <w:tab w:val="center" w:pos="672"/>
              </w:tabs>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sidRPr="002A6DA4">
              <w:rPr>
                <w:rFonts w:eastAsia="Times New Roman"/>
                <w:color w:val="3C3C3C"/>
              </w:rPr>
              <w:tab/>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Augusta</w:t>
            </w:r>
            <w:r>
              <w:rPr>
                <w:rFonts w:eastAsia="Times New Roman"/>
                <w:b w:val="0"/>
                <w:color w:val="3C3C3C"/>
              </w:rPr>
              <w:t>-</w:t>
            </w:r>
            <w:r w:rsidRPr="002A6DA4">
              <w:rPr>
                <w:rFonts w:eastAsia="Times New Roman"/>
                <w:b w:val="0"/>
                <w:color w:val="3C3C3C"/>
              </w:rPr>
              <w:t xml:space="preserve">Margaret River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956,807</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124,000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1,080,807</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963,371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364,000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364,000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Bassendean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215,701</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215,701</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214,596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Bayswater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720,699</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720,699</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717,063</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Belmont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520,818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520,818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522,145</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Beverley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453,719</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513,719</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451,388</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38,000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38,000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Boddington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192,541</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192,541</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203,056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Boyup Brook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638,693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376,000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1,014,693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633,143</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464,000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464,000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Bridgetown</w:t>
            </w:r>
            <w:r>
              <w:rPr>
                <w:rFonts w:eastAsia="Times New Roman"/>
                <w:b w:val="0"/>
                <w:color w:val="3C3C3C"/>
              </w:rPr>
              <w:t>-</w:t>
            </w:r>
            <w:r w:rsidRPr="002A6DA4">
              <w:rPr>
                <w:rFonts w:eastAsia="Times New Roman"/>
                <w:b w:val="0"/>
                <w:color w:val="3C3C3C"/>
              </w:rPr>
              <w:t xml:space="preserve">Greenbushes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671,863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681,863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662,851</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26,000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26,000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Brookton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325,802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325,802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327,646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Broome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838,603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88,000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926,603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836,925</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88,000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88,000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Broomehill</w:t>
            </w:r>
            <w:r>
              <w:rPr>
                <w:rFonts w:eastAsia="Times New Roman"/>
                <w:b w:val="0"/>
                <w:color w:val="3C3C3C"/>
              </w:rPr>
              <w:t>-</w:t>
            </w:r>
            <w:r w:rsidRPr="002A6DA4">
              <w:rPr>
                <w:rFonts w:eastAsia="Times New Roman"/>
                <w:b w:val="0"/>
                <w:color w:val="3C3C3C"/>
              </w:rPr>
              <w:t xml:space="preserve">Tambellup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608,530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309,333</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917,863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610,198</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Bruce Rock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747,318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204,000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951,318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742,317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248,000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248,000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Bunbury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846,242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846,242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846,855</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36,000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36,000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Busselton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1,401,638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1,401,638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1,394,024</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714,000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714,000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Cambridge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376,006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376,006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374,082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lastRenderedPageBreak/>
              <w:t xml:space="preserve">Canning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1,286,929</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86,000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1,372,929</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1,280,662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400,000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400,000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Capel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548,780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548,780</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547,739</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194,000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194,000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Carnamah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386,110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386,110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384,135</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Carnarvon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1,126,153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1,126,153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1,099,578</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Chapman Valley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494,628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494,628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491,805</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Chittering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436,728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436,728</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434,582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Claremont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102,349</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102,349</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101,830</w:t>
            </w:r>
          </w:p>
        </w:tc>
        <w:tc>
          <w:tcPr>
            <w:tcW w:w="1559" w:type="dxa"/>
            <w:noWrap/>
            <w:hideMark/>
          </w:tcPr>
          <w:p w:rsidR="008169F9" w:rsidRPr="006E785C" w:rsidRDefault="008169F9" w:rsidP="006645C7">
            <w:pPr>
              <w:jc w:val="right"/>
              <w:cnfStyle w:val="000000100000" w:firstRow="0" w:lastRow="0" w:firstColumn="0" w:lastColumn="0" w:oddVBand="0" w:evenVBand="0" w:oddHBand="1" w:evenHBand="0" w:firstRowFirstColumn="0" w:firstRowLastColumn="0" w:lastRowFirstColumn="0" w:lastRowLastColumn="0"/>
            </w:pPr>
            <w:r w:rsidRPr="006E785C">
              <w:t xml:space="preserve">0 </w:t>
            </w:r>
          </w:p>
        </w:tc>
        <w:tc>
          <w:tcPr>
            <w:tcW w:w="1559" w:type="dxa"/>
            <w:noWrap/>
            <w:hideMark/>
          </w:tcPr>
          <w:p w:rsidR="008169F9" w:rsidRPr="006E785C" w:rsidRDefault="008169F9" w:rsidP="006645C7">
            <w:pPr>
              <w:jc w:val="right"/>
              <w:cnfStyle w:val="000000100000" w:firstRow="0" w:lastRow="0" w:firstColumn="0" w:lastColumn="0" w:oddVBand="0" w:evenVBand="0" w:oddHBand="1" w:evenHBand="0" w:firstRowFirstColumn="0" w:firstRowLastColumn="0" w:lastRowFirstColumn="0" w:lastRowLastColumn="0"/>
            </w:pPr>
            <w:r w:rsidRPr="006E785C">
              <w:t xml:space="preserve"> 0</w:t>
            </w:r>
          </w:p>
        </w:tc>
        <w:tc>
          <w:tcPr>
            <w:tcW w:w="1559" w:type="dxa"/>
            <w:noWrap/>
            <w:hideMark/>
          </w:tcPr>
          <w:p w:rsidR="008169F9" w:rsidRDefault="008169F9" w:rsidP="006645C7">
            <w:pPr>
              <w:jc w:val="right"/>
              <w:cnfStyle w:val="000000100000" w:firstRow="0" w:lastRow="0" w:firstColumn="0" w:lastColumn="0" w:oddVBand="0" w:evenVBand="0" w:oddHBand="1" w:evenHBand="0" w:firstRowFirstColumn="0" w:firstRowLastColumn="0" w:lastRowFirstColumn="0" w:lastRowLastColumn="0"/>
            </w:pPr>
            <w:r w:rsidRPr="006E785C">
              <w:t>0</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Cockburn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1,469,537</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1,469,537</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1,490,771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Collie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457,563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457,563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457,798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Coolgardie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498,821</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498,821</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494,283</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Coorow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517,153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517,153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515,086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Corrigin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648,979</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648,979</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645,659</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Cottesloe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101,648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101,648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101,263</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Cranbrook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611,577</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340,000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951,577</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615,817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260,000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260,000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Cuballing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318,685</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318,685</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316,800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Cue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418,882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418,882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416,442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Cunderdin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493,177</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493,177</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490,653</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Dalwallinu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1,106,936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1,106,936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1,100,754</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Dandaragan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844,790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844,790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840,467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Dardanup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463,529</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186,000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649,529</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460,882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Denmark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436,953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436,953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459,305</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300,000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300,000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lastRenderedPageBreak/>
              <w:t>Derby</w:t>
            </w:r>
            <w:r>
              <w:rPr>
                <w:rFonts w:eastAsia="Times New Roman"/>
                <w:b w:val="0"/>
                <w:color w:val="3C3C3C"/>
              </w:rPr>
              <w:t>-</w:t>
            </w:r>
            <w:r w:rsidRPr="002A6DA4">
              <w:rPr>
                <w:rFonts w:eastAsia="Times New Roman"/>
                <w:b w:val="0"/>
                <w:color w:val="3C3C3C"/>
              </w:rPr>
              <w:t xml:space="preserve">West Kimberley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854,305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222,000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1,076,305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849,934</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218,000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218,000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Donnybrook</w:t>
            </w:r>
            <w:r>
              <w:rPr>
                <w:rFonts w:eastAsia="Times New Roman"/>
                <w:b w:val="0"/>
                <w:color w:val="3C3C3C"/>
              </w:rPr>
              <w:t>-</w:t>
            </w:r>
            <w:r w:rsidRPr="002A6DA4">
              <w:rPr>
                <w:rFonts w:eastAsia="Times New Roman"/>
                <w:b w:val="0"/>
                <w:color w:val="3C3C3C"/>
              </w:rPr>
              <w:t xml:space="preserve">Balingup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637,893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618,000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1,255,893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634,491</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32,000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32,000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Dowerin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522,522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522,522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519,517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Dumbleyung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564,663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610,663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561,532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Dundas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373,385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373,385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360,398</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East Fremantle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72,148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72,148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71,779</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East Pilbara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1,686,120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578,000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2,264,120</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1,678,932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596,000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596,000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Esperance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2,755,880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2,755,880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2,753,310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Exmouth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406,882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406,882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404,801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Fremantle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392,630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392,630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390,628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Gingin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838,806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838,806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832,063</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Gnowangerup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606,231</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606,231</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602,549</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Goomalling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348,433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348,433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346,451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Gosnells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1,548,296</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1,558,296</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1,532,527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260,000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260,000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Pr>
                <w:rFonts w:eastAsia="Times New Roman"/>
                <w:b w:val="0"/>
                <w:color w:val="3C3C3C"/>
              </w:rPr>
              <w:t>Greater Geraldton</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1,937,962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1,937,962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1,926,826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Halls Creek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743,727</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320,000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1,063,727</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740,396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234,000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234,000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Harvey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955,548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120,000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1,075,548</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956,816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Irwin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325,901</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325,901</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325,324</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Jerramungup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590,933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590,933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590,164</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Joondalup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2,063,602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2,063,602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2,117,506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Kalamunda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1,089,899</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1,089,899</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1,085,520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210,000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210,000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lastRenderedPageBreak/>
              <w:t>Kalgoorlie</w:t>
            </w:r>
            <w:r>
              <w:rPr>
                <w:rFonts w:eastAsia="Times New Roman"/>
                <w:b w:val="0"/>
                <w:color w:val="3C3C3C"/>
              </w:rPr>
              <w:t>-</w:t>
            </w:r>
            <w:r w:rsidRPr="002A6DA4">
              <w:rPr>
                <w:rFonts w:eastAsia="Times New Roman"/>
                <w:b w:val="0"/>
                <w:color w:val="3C3C3C"/>
              </w:rPr>
              <w:t xml:space="preserve">Boulder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1,499,520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114,000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1,613,520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1,555,752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114,000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114,000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Karratha</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837,515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456,000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1,293,515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844,692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Katanning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483,964</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483,964</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481,534</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Kellerberrin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547,234</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686,000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1,233,234</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547,544</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Kent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687,340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687,340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686,570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Kojonup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659,828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659,828</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649,046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Kondinin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721,965</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721,965</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716,679</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Koorda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605,145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605,145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601,703</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Kulin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802,516</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802,516</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810,274</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Kwinana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674,124</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674,124</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686,717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Lake Grace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1,237,752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1,237,752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1,223,268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Laverton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734,067</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173,000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907,067</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731,009</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Leonora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594,799</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594,799</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592,817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Mandurah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1,223,620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1,223,620</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1,217,900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Manjimup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1,338,345</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244,000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1,582,345</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1,331,182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Meekatharra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1,103,981</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1,103,981</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1,100,054</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Melville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1,058,592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1,058,592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1,053,176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Menzies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754,548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754,548</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752,027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120,000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120,000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Merredin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817,213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817,213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813,162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Mingenew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306,243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306,243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304,892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Moora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674,174</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674,174</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672,489</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lastRenderedPageBreak/>
              <w:t xml:space="preserve">Morawa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539,806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539,806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541,135</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Mosman Park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82,396</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82,396</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81,085</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Mount Magnet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306,156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306,156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305,070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Mount Marshall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833,012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833,012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828,750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Mukinbudin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511,388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511,388</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506,640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Mundaring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1,010,202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1,034,202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1,014,078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Murchison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833,902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833,902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830,996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Murray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801,971</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248,000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1,049,971</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800,966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 xml:space="preserve">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194,000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194,000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Nannup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463,720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398,000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861,720</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461,340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472,000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472,000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Narembeen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770,887</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770,887</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765,828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Narrogin(S)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412,966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412,966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410,603</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Narrogin(T)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156,374</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156,374</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154,649</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Nedlands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291,000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291,000</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289,240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Ngaanyatjarraku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607,292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587,000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1,194,292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599,496</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575,480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575,480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Northam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768,946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768,946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763,685</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Northampton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683,432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683,432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679,657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Nungarin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292,213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292,213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290,547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Peppermint Grove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20,105</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20,105</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19,880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Perenjori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815,858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815,858</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811,696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Perth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415,292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415,292</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408,554</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Pingelly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343,193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343,193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341,068</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lastRenderedPageBreak/>
              <w:t xml:space="preserve">Plantagenet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832,461</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832,461</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839,867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Port Hedland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671,408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671,408</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681,677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Quairading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543,339</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543,339</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540,452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Ravensthorpe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716,925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716,925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711,221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Rockingham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1,784,479</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1,784,479</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1,856,392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Sandstone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425,450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425,450</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423,862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Serpentine</w:t>
            </w:r>
            <w:r>
              <w:rPr>
                <w:rFonts w:eastAsia="Times New Roman"/>
                <w:b w:val="0"/>
                <w:color w:val="3C3C3C"/>
              </w:rPr>
              <w:t>-</w:t>
            </w:r>
            <w:r w:rsidRPr="002A6DA4">
              <w:rPr>
                <w:rFonts w:eastAsia="Times New Roman"/>
                <w:b w:val="0"/>
                <w:color w:val="3C3C3C"/>
              </w:rPr>
              <w:t xml:space="preserve">Jarrahdale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805,270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805,270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924,340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Shark Bay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419,907</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419,907</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418,476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South Perth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398,268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398,268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396,230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Stirling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2,130,719</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2,144,719</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2,128,421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154,000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154,000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Subiaco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211,255</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211,255</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205,073</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Swan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2,427,508</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203,628</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2,631,136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2,397,058</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30,000 </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30,000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Tammin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282,388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282,388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280,943</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Three Springs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431,525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431,525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428,905</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Toodyay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534,684</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534,684</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532,612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Trayning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444,449</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444,449</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442,206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Upper Gascoyne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842,018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842,018</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838,929</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94,000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94,000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Victoria Park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342,605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342,605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344,272</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Victoria Plains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515,484</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515,484</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512,847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Vincent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364,105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364,105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360,261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Wagin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470,533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470,533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467,042</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lastRenderedPageBreak/>
              <w:t xml:space="preserve">Wandering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217,907</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257,907</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216,785</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Wanneroo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2,466,423</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2,466,423</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2,481,860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Waroona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382,266</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382,266</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381,038</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West Arthur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490,586</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490,586</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487,791</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Westonia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489,997</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489,997</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485,930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Wickepin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495,646</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495,646</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492,818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Williams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295,535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56,000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351,535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293,957</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Wiluna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805,840</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18,000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823,840</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803,078</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36,000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36,000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Wongan</w:t>
            </w:r>
            <w:r>
              <w:rPr>
                <w:rFonts w:eastAsia="Times New Roman"/>
                <w:b w:val="0"/>
                <w:color w:val="3C3C3C"/>
              </w:rPr>
              <w:t>-</w:t>
            </w:r>
            <w:r w:rsidRPr="002A6DA4">
              <w:rPr>
                <w:rFonts w:eastAsia="Times New Roman"/>
                <w:b w:val="0"/>
                <w:color w:val="3C3C3C"/>
              </w:rPr>
              <w:t xml:space="preserve">Ballidu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769,233</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769,233</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764,851</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Woodanilling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296,095</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296,095</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294,474</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Wyalkatchem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427,372</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427,372</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424,924</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Wyndham</w:t>
            </w:r>
            <w:r>
              <w:rPr>
                <w:rFonts w:eastAsia="Times New Roman"/>
                <w:b w:val="0"/>
                <w:color w:val="3C3C3C"/>
              </w:rPr>
              <w:t>-</w:t>
            </w:r>
            <w:r w:rsidRPr="002A6DA4">
              <w:rPr>
                <w:rFonts w:eastAsia="Times New Roman"/>
                <w:b w:val="0"/>
                <w:color w:val="3C3C3C"/>
              </w:rPr>
              <w:t xml:space="preserve">East Kimberley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828,428</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457,481</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1,285,909</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824,189</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294,000 </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294,000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Yalgoo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556,845</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556,845</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553,996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Yilgarn </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1,139,654</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1,139,654</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1,133,767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2A6DA4" w:rsidRDefault="008169F9" w:rsidP="006645C7">
            <w:pPr>
              <w:spacing w:before="40" w:after="40" w:line="240" w:lineRule="auto"/>
              <w:rPr>
                <w:rFonts w:eastAsia="Times New Roman"/>
                <w:b w:val="0"/>
                <w:color w:val="3C3C3C"/>
              </w:rPr>
            </w:pPr>
            <w:r w:rsidRPr="002A6DA4">
              <w:rPr>
                <w:rFonts w:eastAsia="Times New Roman"/>
                <w:b w:val="0"/>
                <w:color w:val="3C3C3C"/>
              </w:rPr>
              <w:t xml:space="preserve">York </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594,960</w:t>
            </w:r>
          </w:p>
        </w:tc>
        <w:tc>
          <w:tcPr>
            <w:tcW w:w="152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0</w:t>
            </w:r>
          </w:p>
        </w:tc>
        <w:tc>
          <w:tcPr>
            <w:tcW w:w="1780"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594,960</w:t>
            </w:r>
          </w:p>
        </w:tc>
        <w:tc>
          <w:tcPr>
            <w:tcW w:w="1794"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592,546</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w:t>
            </w:r>
            <w:r>
              <w:rPr>
                <w:rFonts w:eastAsia="Times New Roman"/>
                <w:color w:val="3C3C3C"/>
              </w:rPr>
              <w:t>0</w:t>
            </w:r>
          </w:p>
        </w:tc>
        <w:tc>
          <w:tcPr>
            <w:tcW w:w="1559"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Pr>
                <w:rFonts w:eastAsia="Times New Roman"/>
                <w:color w:val="3C3C3C"/>
              </w:rPr>
              <w:t>0</w:t>
            </w:r>
            <w:r w:rsidRPr="002A6DA4">
              <w:rPr>
                <w:rFonts w:eastAsia="Times New Roman"/>
                <w:color w:val="3C3C3C"/>
              </w:rPr>
              <w:t xml:space="preserve">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4" w:type="dxa"/>
            <w:noWrap/>
            <w:hideMark/>
          </w:tcPr>
          <w:p w:rsidR="008169F9" w:rsidRPr="00AC3FDB" w:rsidRDefault="008169F9" w:rsidP="006645C7">
            <w:pPr>
              <w:spacing w:before="40" w:after="40" w:line="240" w:lineRule="auto"/>
              <w:rPr>
                <w:rFonts w:eastAsia="Times New Roman"/>
                <w:bCs w:val="0"/>
                <w:color w:val="3C3C3C"/>
              </w:rPr>
            </w:pPr>
            <w:r w:rsidRPr="00AC3FDB">
              <w:rPr>
                <w:rFonts w:eastAsia="Times New Roman"/>
                <w:bCs w:val="0"/>
                <w:color w:val="3C3C3C"/>
              </w:rPr>
              <w:t>Total:</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100,033,142</w:t>
            </w:r>
          </w:p>
        </w:tc>
        <w:tc>
          <w:tcPr>
            <w:tcW w:w="152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7,522,442</w:t>
            </w:r>
          </w:p>
        </w:tc>
        <w:tc>
          <w:tcPr>
            <w:tcW w:w="1780"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107,555,584</w:t>
            </w:r>
          </w:p>
        </w:tc>
        <w:tc>
          <w:tcPr>
            <w:tcW w:w="1794"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100,027,207</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2,507,480</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5,014,961</w:t>
            </w:r>
          </w:p>
        </w:tc>
        <w:tc>
          <w:tcPr>
            <w:tcW w:w="1559"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7,522,441</w:t>
            </w:r>
          </w:p>
        </w:tc>
      </w:tr>
    </w:tbl>
    <w:p w:rsidR="009C0FF5" w:rsidRPr="00C824E4" w:rsidRDefault="009C0FF5" w:rsidP="00C824E4">
      <w:r>
        <w:rPr>
          <w:rStyle w:val="Heading1Char"/>
        </w:rPr>
        <w:br w:type="page"/>
      </w:r>
    </w:p>
    <w:p w:rsidR="009C0FF5" w:rsidRDefault="009C0FF5" w:rsidP="009755FE">
      <w:pPr>
        <w:pStyle w:val="Heading1"/>
        <w:rPr>
          <w:rStyle w:val="Heading1Char"/>
          <w:bCs/>
        </w:rPr>
      </w:pPr>
      <w:bookmarkStart w:id="105" w:name="_Toc410647372"/>
      <w:bookmarkStart w:id="106" w:name="_Toc412713577"/>
      <w:bookmarkStart w:id="107" w:name="_Toc434918447"/>
      <w:r w:rsidRPr="009755FE">
        <w:rPr>
          <w:rStyle w:val="Heading1Char"/>
          <w:bCs/>
        </w:rPr>
        <w:lastRenderedPageBreak/>
        <w:t xml:space="preserve">Schedule of Local </w:t>
      </w:r>
      <w:r w:rsidRPr="002A6DA4">
        <w:rPr>
          <w:rStyle w:val="Heading1Char"/>
          <w:bCs/>
        </w:rPr>
        <w:t>Road Funding (Part Two</w:t>
      </w:r>
      <w:r w:rsidRPr="009755FE">
        <w:rPr>
          <w:rStyle w:val="Heading1Char"/>
          <w:bCs/>
        </w:rPr>
        <w:t>)</w:t>
      </w:r>
      <w:bookmarkEnd w:id="104"/>
      <w:bookmarkEnd w:id="105"/>
      <w:bookmarkEnd w:id="106"/>
      <w:bookmarkEnd w:id="107"/>
    </w:p>
    <w:tbl>
      <w:tblPr>
        <w:tblStyle w:val="PlainTable1"/>
        <w:tblW w:w="14377" w:type="dxa"/>
        <w:tblLook w:val="04A0" w:firstRow="1" w:lastRow="0" w:firstColumn="1" w:lastColumn="0" w:noHBand="0" w:noVBand="1"/>
        <w:tblCaption w:val="Schedule of Local Road Funding Part 2"/>
        <w:tblDescription w:val="Complete Schedule of Local Road Funding Allocations to Local Governments for 2015/16"/>
      </w:tblPr>
      <w:tblGrid>
        <w:gridCol w:w="3681"/>
        <w:gridCol w:w="3212"/>
        <w:gridCol w:w="2556"/>
        <w:gridCol w:w="2555"/>
        <w:gridCol w:w="2373"/>
      </w:tblGrid>
      <w:tr w:rsidR="008169F9" w:rsidRPr="002A6DA4" w:rsidTr="00833DAB">
        <w:trPr>
          <w:cnfStyle w:val="100000000000" w:firstRow="1" w:lastRow="0" w:firstColumn="0" w:lastColumn="0" w:oddVBand="0" w:evenVBand="0" w:oddHBand="0" w:evenHBand="0" w:firstRowFirstColumn="0" w:firstRowLastColumn="0" w:lastRowFirstColumn="0" w:lastRowLastColumn="0"/>
          <w:trHeight w:val="1343"/>
          <w:tblHeader/>
        </w:trPr>
        <w:tc>
          <w:tcPr>
            <w:cnfStyle w:val="001000000000" w:firstRow="0" w:lastRow="0" w:firstColumn="1" w:lastColumn="0" w:oddVBand="0" w:evenVBand="0" w:oddHBand="0" w:evenHBand="0" w:firstRowFirstColumn="0" w:firstRowLastColumn="0" w:lastRowFirstColumn="0" w:lastRowLastColumn="0"/>
            <w:tcW w:w="3681" w:type="dxa"/>
            <w:shd w:val="clear" w:color="auto" w:fill="FDE9D9" w:themeFill="accent6" w:themeFillTint="33"/>
            <w:hideMark/>
          </w:tcPr>
          <w:p w:rsidR="008169F9" w:rsidRPr="002A6DA4" w:rsidRDefault="008169F9" w:rsidP="006645C7">
            <w:pPr>
              <w:spacing w:before="40" w:after="40" w:line="240" w:lineRule="auto"/>
              <w:rPr>
                <w:rFonts w:eastAsia="Times New Roman"/>
                <w:bCs w:val="0"/>
                <w:color w:val="3C3C3C"/>
              </w:rPr>
            </w:pPr>
            <w:r w:rsidRPr="002A6DA4">
              <w:rPr>
                <w:rFonts w:eastAsia="Times New Roman"/>
                <w:color w:val="3C3C3C"/>
              </w:rPr>
              <w:t>Local Government</w:t>
            </w:r>
          </w:p>
        </w:tc>
        <w:tc>
          <w:tcPr>
            <w:tcW w:w="3212"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color w:val="3C3C3C"/>
              </w:rPr>
              <w:t>2015-16 Final Road Grant Plus Special Projects ($)</w:t>
            </w:r>
          </w:p>
        </w:tc>
        <w:tc>
          <w:tcPr>
            <w:tcW w:w="2556"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color w:val="3C3C3C"/>
              </w:rPr>
              <w:t>2014/15 Adjustment for Overpayment ($)</w:t>
            </w:r>
          </w:p>
        </w:tc>
        <w:tc>
          <w:tcPr>
            <w:tcW w:w="2555"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color w:val="3C3C3C"/>
              </w:rPr>
              <w:t>Advance Payment Paid 30 June 2015 ($)</w:t>
            </w:r>
          </w:p>
        </w:tc>
        <w:tc>
          <w:tcPr>
            <w:tcW w:w="2373" w:type="dxa"/>
            <w:shd w:val="clear" w:color="auto" w:fill="FDE9D9" w:themeFill="accent6" w:themeFillTint="33"/>
            <w:hideMark/>
          </w:tcPr>
          <w:p w:rsidR="008169F9" w:rsidRPr="002A6DA4" w:rsidRDefault="008169F9" w:rsidP="006645C7">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imes New Roman"/>
                <w:bCs w:val="0"/>
                <w:color w:val="3C3C3C"/>
              </w:rPr>
            </w:pPr>
            <w:r w:rsidRPr="002A6DA4">
              <w:rPr>
                <w:rFonts w:eastAsia="Times New Roman"/>
                <w:color w:val="3C3C3C"/>
              </w:rPr>
              <w:t>Balance Paid in 2015/16 (including Special Projects) ($)</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Albany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1,769,117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925,696</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843,392</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Armadale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,736,098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661,829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1,074,248</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Ashburton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1,300,978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701,750</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599,206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Augusta-Margaret River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1,327,371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514,379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812,976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Bassendean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214,596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115,961</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98,631</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Bayswater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717,063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387,448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329,603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Belmont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522,145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279,992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242,144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Beverley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89,388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243,919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245,461</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Boddington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203,056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103,510</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99,543</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Boyup Brook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1,097,143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343,361</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753,771</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Bridgetown-Greenbushes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688,851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361,193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327,647</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Brookton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327,646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175,151</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152,490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Broome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24,925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450,833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474,078</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Broomehill-Tambellup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610,198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327,146</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283,042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Bruce Rock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990,317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401,758</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588,546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Bunbury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882,855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454,939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427,902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Busselton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2,108,024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753,520</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1,354,481</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Cambridge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374,082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202,141</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171,935</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lastRenderedPageBreak/>
              <w:t xml:space="preserve">Canning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1,680,662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691,853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988,787</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Capel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741,739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295,024</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446,706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Carnamah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384,135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207,573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176,556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Carnarvon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1,099,578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605,420</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494,139</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Chapman Valley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491,805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265,912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225,885</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Chittering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474,582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234,785</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239,790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Claremont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101,830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55,023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46,805</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Cockburn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1,490,771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790,023</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700,723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Collie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457,798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245,986</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211,804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Coolgardie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494,283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268,166</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226,109</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Coorow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515,086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278,021</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237,056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Corrigin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645,659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348,891</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296,757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Cottesloe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101,263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54,646</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46,615</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Cranbrook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875,817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328,784</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547,023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Cuballing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316,800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171,325</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145,470</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Cue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416,442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225,191</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191,244</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Cunderdin </w:t>
            </w:r>
          </w:p>
        </w:tc>
        <w:tc>
          <w:tcPr>
            <w:tcW w:w="3212" w:type="dxa"/>
            <w:noWrap/>
            <w:hideMark/>
          </w:tcPr>
          <w:p w:rsidR="008169F9" w:rsidRPr="002A6DA4" w:rsidRDefault="008169F9" w:rsidP="00A334E8">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  490,653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265,132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225,513</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Dalwallinu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1,100,754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595,088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505,647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Dandaragan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840,467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454,159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386,294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Dardanup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460,882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249,193</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211,681</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Denmark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759,305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234,906</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524,392</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lastRenderedPageBreak/>
              <w:t xml:space="preserve">Derby-West Kimberley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1,067,934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459,274</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608,646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Donnybrook-Balingup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666,491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342,931</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323,549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Dowerin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519,517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280,908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238,600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Dumbleyung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561,532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303,563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257,960</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Dundas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360,398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200,732</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159,660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East Fremantle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71,779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38,787</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32,991</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East Pilbara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2,274,932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906,458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1,368,446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Esperance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2,753,310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-46</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1,481,560</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1,271,704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Exmouth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404,801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218,740</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186,054</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Fremantle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390,628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211,078</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179,543</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Gingin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832,063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450,942</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381,107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Gnowangerup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602,549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325,910</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276,629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Goomalling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346,451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187,317</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159,128</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Gosnells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1,792,527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832,363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960,138</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024F29" w:rsidP="006645C7">
            <w:pPr>
              <w:spacing w:before="40" w:after="40" w:line="240" w:lineRule="auto"/>
              <w:rPr>
                <w:rFonts w:eastAsia="Times New Roman"/>
                <w:b w:val="0"/>
                <w:color w:val="3C3C3C"/>
              </w:rPr>
            </w:pPr>
            <w:r>
              <w:rPr>
                <w:rFonts w:eastAsia="Times New Roman"/>
                <w:b w:val="0"/>
                <w:color w:val="3C3C3C"/>
              </w:rPr>
              <w:t>Greater Geraldton</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1,926,826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1,041,848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884,946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Halls Creek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974,396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399,827</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574,557</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Harvey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956,816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513,702</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443,098</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Irwin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325,324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175,204</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150,115</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Jerramungup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590,164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317,685</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272,469</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Joondalup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2,117,506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-35</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1,109,392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1,008,079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Kalamunda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1,295,520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585,929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709,573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lastRenderedPageBreak/>
              <w:t xml:space="preserve">Kalgoorlie-Boulder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1,669,752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806,142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863,585</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Karratha</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844,692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450,248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394,430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Katanning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481,534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260,179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221,347</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Kellerberrin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547,544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294,193</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253,342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Kent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686,570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369,514</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317,044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Kojonup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649,046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354,723</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294,312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Kondinin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716,679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388,128</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328,539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Koorda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601,703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325,326</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276,367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Kulin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810,274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431,432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378,829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Kwinana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686,717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362,409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324,297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Lake Grace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1,223,268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665,415</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557,832</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Laverton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811,009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394,634</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416,363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Leonora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592,817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319,764</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273,043</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Mandurah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1,217,900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657,818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560,062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Manjimup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1,331,182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719,494</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611,666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Meekatharra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1,100,054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593,500</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506,536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Melville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,053,176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569,099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484,059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Menzies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872,027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405,645</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466,369</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Merredin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813,162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439,333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373,815</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Mingenew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304,892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164,636</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140,251</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Moora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672,489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362,436</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310,042</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lastRenderedPageBreak/>
              <w:t xml:space="preserve">Morawa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541,135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290,199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250,927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Mosman Park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81,085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44,296</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36,788</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Mount Magnet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305,070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164,589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140,476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Mount Marshall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828,750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447,827</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380,909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Mukinbudin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506,640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274,922</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231,709</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Mundaring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1,014,078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-17</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543,084</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470,977</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Murchison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830,996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448,305</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382,677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Murray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994,966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431,139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563,814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Nannup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933,340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249,296</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684,036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Narembeen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765,828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414,429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351,386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Narrogin(S)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410,603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222,010</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188,586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Narrogin(T)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54,649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84,067</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70,579</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Nedlands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289,240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156,441</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132,794</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Ngaanyatjarraku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1,174,976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326,480</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848,486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Northam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803,685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413,385</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390,287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Northampton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679,657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367,413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312,233</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Nungarin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290,547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157,094</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133,448</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Peppermint Grove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19,880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0</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10,808</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9,072</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Perenjori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811,696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438,605</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373,077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Perth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408,554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223,261</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185,286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Pingelly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341,068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184,500</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156,562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lastRenderedPageBreak/>
              <w:t xml:space="preserve">Plantagenet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839,867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447,531</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392,322</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Port Hedland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731,677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360,949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370,717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Quairading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40,452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292,099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248,344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Ravensthorpe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711,221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-12</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385,419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325,790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Rockingham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1,856,392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-30</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959,335</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897,027</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Sandstone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423,862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228,722</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195,133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Serpentine-Jarrahdale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924,340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432,913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491,414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Shark Bay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418,476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225,742</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192,727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South Perth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396,230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214,109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182,114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Stirling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2,282,421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1,145,474</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1,136,911</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Subiaco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205,073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113,571</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91,498</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Swan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2,427,058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1,305,028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1,121,989</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Tammin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280,943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151,812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129,126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Three Springs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428,905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231,988</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196,910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Toodyay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532,612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287,446</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245,157</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Trayning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442,206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238,936</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203,263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Upper Gascoyne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932,929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452,669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480,246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Victoria Park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344,272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184,184</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160,082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Victoria Plains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512,847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277,124</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235,714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Vincent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360,261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195,743</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164,512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Wagin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467,042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252,958</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214,076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lastRenderedPageBreak/>
              <w:t xml:space="preserve">Wandering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216,785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117,147</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99,634</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Wanneroo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2,481,860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1,325,948</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1,155,868</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Waroona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381,038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-6</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205,506</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175,526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West Arthur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487,791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263,739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224,044</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Westonia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485,930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263,422</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222,500</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Wickepin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92,818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-8</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266,459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226,351</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Williams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293,957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158,879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135,073</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Wiluna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839,078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433,219</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405,846</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Wongan-Ballidu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764,851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-13</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413,539</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351,299</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Woodanilling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294,474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159,181</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135,288</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Wyalkatchem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424,924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-7</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229,755</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195,162</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Wyndham-East Kimberley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1,118,189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-14</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445,363</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672,812</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Yalgoo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553,996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-9</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299,360</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254,627</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Yilgarn </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 xml:space="preserve">1,133,767 </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-19</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612,678</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3C3C3C"/>
              </w:rPr>
            </w:pPr>
            <w:r w:rsidRPr="002A6DA4">
              <w:rPr>
                <w:rFonts w:eastAsia="Times New Roman"/>
                <w:color w:val="3C3C3C"/>
              </w:rPr>
              <w:t>521,070</w:t>
            </w:r>
          </w:p>
        </w:tc>
      </w:tr>
      <w:tr w:rsidR="008169F9" w:rsidRPr="002A6DA4" w:rsidTr="00024F29">
        <w:trPr>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024F29" w:rsidRDefault="008169F9" w:rsidP="006645C7">
            <w:pPr>
              <w:spacing w:before="40" w:after="40" w:line="240" w:lineRule="auto"/>
              <w:rPr>
                <w:rFonts w:eastAsia="Times New Roman"/>
                <w:b w:val="0"/>
                <w:color w:val="3C3C3C"/>
              </w:rPr>
            </w:pPr>
            <w:r w:rsidRPr="00024F29">
              <w:rPr>
                <w:rFonts w:eastAsia="Times New Roman"/>
                <w:b w:val="0"/>
                <w:color w:val="3C3C3C"/>
              </w:rPr>
              <w:t xml:space="preserve">York </w:t>
            </w:r>
          </w:p>
        </w:tc>
        <w:tc>
          <w:tcPr>
            <w:tcW w:w="3212"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 xml:space="preserve">592,546 </w:t>
            </w:r>
          </w:p>
        </w:tc>
        <w:tc>
          <w:tcPr>
            <w:tcW w:w="2556"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-10</w:t>
            </w:r>
          </w:p>
        </w:tc>
        <w:tc>
          <w:tcPr>
            <w:tcW w:w="2555"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319,850</w:t>
            </w:r>
          </w:p>
        </w:tc>
        <w:tc>
          <w:tcPr>
            <w:tcW w:w="2373" w:type="dxa"/>
            <w:noWrap/>
            <w:hideMark/>
          </w:tcPr>
          <w:p w:rsidR="008169F9" w:rsidRPr="002A6DA4" w:rsidRDefault="008169F9" w:rsidP="006645C7">
            <w:pPr>
              <w:spacing w:before="40" w:after="4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3C3C3C"/>
              </w:rPr>
            </w:pPr>
            <w:r w:rsidRPr="002A6DA4">
              <w:rPr>
                <w:rFonts w:eastAsia="Times New Roman"/>
                <w:color w:val="3C3C3C"/>
              </w:rPr>
              <w:t>272,686</w:t>
            </w:r>
          </w:p>
        </w:tc>
      </w:tr>
      <w:tr w:rsidR="008169F9" w:rsidRPr="002A6DA4" w:rsidTr="00024F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681" w:type="dxa"/>
            <w:noWrap/>
            <w:hideMark/>
          </w:tcPr>
          <w:p w:rsidR="008169F9" w:rsidRPr="002A6DA4" w:rsidRDefault="008169F9" w:rsidP="006645C7">
            <w:pPr>
              <w:spacing w:before="40" w:after="40" w:line="240" w:lineRule="auto"/>
              <w:rPr>
                <w:rFonts w:eastAsia="Times New Roman"/>
                <w:b w:val="0"/>
                <w:bCs w:val="0"/>
                <w:color w:val="3C3C3C"/>
              </w:rPr>
            </w:pPr>
            <w:r w:rsidRPr="002A6DA4">
              <w:rPr>
                <w:rFonts w:eastAsia="Times New Roman"/>
                <w:color w:val="3C3C3C"/>
              </w:rPr>
              <w:t>Total:</w:t>
            </w:r>
          </w:p>
        </w:tc>
        <w:tc>
          <w:tcPr>
            <w:tcW w:w="3212"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107,549,648</w:t>
            </w:r>
          </w:p>
        </w:tc>
        <w:tc>
          <w:tcPr>
            <w:tcW w:w="2556"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-1,675</w:t>
            </w:r>
          </w:p>
        </w:tc>
        <w:tc>
          <w:tcPr>
            <w:tcW w:w="2555"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53,777,792</w:t>
            </w:r>
          </w:p>
        </w:tc>
        <w:tc>
          <w:tcPr>
            <w:tcW w:w="2373" w:type="dxa"/>
            <w:noWrap/>
            <w:hideMark/>
          </w:tcPr>
          <w:p w:rsidR="008169F9" w:rsidRPr="002A6DA4" w:rsidRDefault="008169F9" w:rsidP="006645C7">
            <w:pPr>
              <w:spacing w:before="40" w:after="4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C3C3C"/>
              </w:rPr>
            </w:pPr>
            <w:r w:rsidRPr="002A6DA4">
              <w:rPr>
                <w:rFonts w:eastAsia="Times New Roman"/>
                <w:b/>
                <w:bCs/>
                <w:color w:val="3C3C3C"/>
              </w:rPr>
              <w:t>53,770,181</w:t>
            </w:r>
          </w:p>
        </w:tc>
      </w:tr>
    </w:tbl>
    <w:p w:rsidR="008169F9" w:rsidRPr="007A2590" w:rsidRDefault="008169F9" w:rsidP="009C0FF5">
      <w:pPr>
        <w:sectPr w:rsidR="008169F9" w:rsidRPr="007A2590" w:rsidSect="004508B8">
          <w:pgSz w:w="16838" w:h="11906" w:orient="landscape"/>
          <w:pgMar w:top="1418" w:right="1134" w:bottom="1418" w:left="1134" w:header="708" w:footer="708" w:gutter="0"/>
          <w:cols w:space="708"/>
          <w:docGrid w:linePitch="360"/>
        </w:sectPr>
      </w:pPr>
    </w:p>
    <w:p w:rsidR="003120D7" w:rsidRDefault="009C0FF5" w:rsidP="009C0FF5">
      <w:pPr>
        <w:rPr>
          <w:color w:val="3C3C3C"/>
        </w:rPr>
      </w:pPr>
      <w:r w:rsidRPr="00CE0748">
        <w:rPr>
          <w:b/>
          <w:color w:val="3C3C3C"/>
        </w:rPr>
        <w:lastRenderedPageBreak/>
        <w:t>Disclaimer</w:t>
      </w:r>
      <w:r w:rsidRPr="00CE0748">
        <w:rPr>
          <w:color w:val="3C3C3C"/>
        </w:rPr>
        <w:t>: The information and advice within this document is provided voluntarily by Department of Local Government and Communities as a public service. The information and advice is provided in good faith and is derived from sources believed to be reliable and accurate. No representation or warranty, express or implied, is made as to the accuracy, completeness or fitness</w:t>
      </w:r>
      <w:r w:rsidR="00833DAB">
        <w:rPr>
          <w:color w:val="3C3C3C"/>
        </w:rPr>
        <w:t xml:space="preserve"> for purpose of this document. </w:t>
      </w:r>
      <w:r w:rsidRPr="00CE0748">
        <w:rPr>
          <w:color w:val="3C3C3C"/>
        </w:rPr>
        <w:t>The reader of this document should satisfy him or herself concerning its a</w:t>
      </w:r>
      <w:r w:rsidR="00833DAB">
        <w:rPr>
          <w:color w:val="3C3C3C"/>
        </w:rPr>
        <w:t xml:space="preserve">pplication to their situation. </w:t>
      </w:r>
      <w:r w:rsidRPr="00CE0748">
        <w:rPr>
          <w:color w:val="3C3C3C"/>
        </w:rPr>
        <w:t xml:space="preserve">The State of Western Australia, the Department of Local Government and Communities and their officers expressly disclaim liability for any act or omission occurring in reliance on this document or for any consequences of such act or omission. Current as at </w:t>
      </w:r>
      <w:r w:rsidR="00C02F33">
        <w:rPr>
          <w:color w:val="3C3C3C"/>
        </w:rPr>
        <w:t>November</w:t>
      </w:r>
      <w:r w:rsidRPr="00CE0748">
        <w:rPr>
          <w:color w:val="3C3C3C"/>
        </w:rPr>
        <w:t xml:space="preserve"> 2015.</w:t>
      </w:r>
    </w:p>
    <w:p w:rsidR="009C0FF5" w:rsidRPr="003120D7" w:rsidRDefault="009C0FF5" w:rsidP="005D33C7">
      <w:pPr>
        <w:spacing w:before="960"/>
        <w:rPr>
          <w:color w:val="3C3C3C"/>
        </w:rPr>
      </w:pPr>
      <w:r w:rsidRPr="003120D7">
        <w:rPr>
          <w:color w:val="3C3C3C"/>
          <w:lang w:eastAsia="en-US"/>
        </w:rPr>
        <w:t>The WA Local Government Grants Commission Annual Report 201</w:t>
      </w:r>
      <w:r w:rsidR="00C02F33">
        <w:rPr>
          <w:color w:val="3C3C3C"/>
          <w:lang w:eastAsia="en-US"/>
        </w:rPr>
        <w:t>5</w:t>
      </w:r>
      <w:r w:rsidRPr="003120D7">
        <w:rPr>
          <w:color w:val="3C3C3C"/>
        </w:rPr>
        <w:t xml:space="preserve"> is available in </w:t>
      </w:r>
      <w:r w:rsidR="00833DAB">
        <w:rPr>
          <w:color w:val="3C3C3C"/>
        </w:rPr>
        <w:br w:type="textWrapping" w:clear="all"/>
      </w:r>
      <w:r w:rsidRPr="003120D7">
        <w:rPr>
          <w:color w:val="3C3C3C"/>
        </w:rPr>
        <w:t xml:space="preserve">a variety of formats for viewing and download from the Department of Local Government and Communities website. </w:t>
      </w:r>
    </w:p>
    <w:p w:rsidR="009C0FF5" w:rsidRPr="003120D7" w:rsidRDefault="009C0FF5" w:rsidP="009C0FF5">
      <w:pPr>
        <w:rPr>
          <w:color w:val="3C3C3C"/>
        </w:rPr>
      </w:pPr>
      <w:r w:rsidRPr="003120D7">
        <w:rPr>
          <w:color w:val="3C3C3C"/>
        </w:rPr>
        <w:t>For more information, please contact:</w:t>
      </w:r>
    </w:p>
    <w:p w:rsidR="009C0FF5" w:rsidRPr="003120D7" w:rsidRDefault="009C0FF5" w:rsidP="009C0FF5">
      <w:pPr>
        <w:pStyle w:val="BodyText-nospacebelow"/>
      </w:pPr>
      <w:r w:rsidRPr="003120D7">
        <w:t>Department of Local Government and Communities</w:t>
      </w:r>
    </w:p>
    <w:p w:rsidR="009C0FF5" w:rsidRPr="00C730F8" w:rsidRDefault="009C0FF5" w:rsidP="009C0FF5">
      <w:pPr>
        <w:pStyle w:val="BodyText-nospacebelow"/>
      </w:pPr>
      <w:r w:rsidRPr="00C730F8">
        <w:t>Gordon Stephenson House, 140 William Street, Perth WA 6000</w:t>
      </w:r>
    </w:p>
    <w:p w:rsidR="009C0FF5" w:rsidRPr="00C730F8" w:rsidRDefault="009C0FF5" w:rsidP="009C0FF5">
      <w:pPr>
        <w:pStyle w:val="BodyText-nospacebelow"/>
      </w:pPr>
      <w:r w:rsidRPr="00C730F8">
        <w:t>GPO Box R1250, Perth WA 6844</w:t>
      </w:r>
    </w:p>
    <w:p w:rsidR="009C0FF5" w:rsidRPr="00C730F8" w:rsidRDefault="009C0FF5" w:rsidP="009C0FF5">
      <w:pPr>
        <w:pStyle w:val="BodyText-nospacebelow"/>
      </w:pPr>
      <w:r w:rsidRPr="00C730F8">
        <w:t>Telephone: (08) 6551 8700 Fax: (08) 6552 1555</w:t>
      </w:r>
    </w:p>
    <w:p w:rsidR="009C0FF5" w:rsidRPr="00C730F8" w:rsidRDefault="009C0FF5" w:rsidP="009C0FF5">
      <w:pPr>
        <w:pStyle w:val="BodyText-nospacebelow"/>
      </w:pPr>
      <w:r w:rsidRPr="00C730F8">
        <w:t>Freecall: 1800 620 511 (Country only)</w:t>
      </w:r>
    </w:p>
    <w:p w:rsidR="009C0FF5" w:rsidRDefault="009C0FF5" w:rsidP="009C0FF5">
      <w:pPr>
        <w:pStyle w:val="BodyText-nospacebelow"/>
      </w:pPr>
      <w:r w:rsidRPr="00C730F8">
        <w:t xml:space="preserve">Email: </w:t>
      </w:r>
      <w:hyperlink r:id="rId24" w:history="1">
        <w:r w:rsidRPr="00733CBA">
          <w:rPr>
            <w:rStyle w:val="Hyperlink"/>
          </w:rPr>
          <w:t>info@dlgc.wa.gov.au</w:t>
        </w:r>
      </w:hyperlink>
      <w:r>
        <w:t xml:space="preserve"> </w:t>
      </w:r>
      <w:r w:rsidRPr="00C730F8">
        <w:t xml:space="preserve"> </w:t>
      </w:r>
    </w:p>
    <w:p w:rsidR="009C0FF5" w:rsidRPr="00C730F8" w:rsidRDefault="009C0FF5" w:rsidP="009C0FF5">
      <w:r w:rsidRPr="00C730F8">
        <w:t xml:space="preserve">Website: </w:t>
      </w:r>
      <w:hyperlink r:id="rId25" w:history="1">
        <w:r w:rsidRPr="00733CBA">
          <w:rPr>
            <w:rStyle w:val="Hyperlink"/>
          </w:rPr>
          <w:t>www.dlgc.wa.gov.au</w:t>
        </w:r>
      </w:hyperlink>
      <w:r>
        <w:t xml:space="preserve"> </w:t>
      </w:r>
    </w:p>
    <w:p w:rsidR="009C0FF5" w:rsidRPr="00CE0748" w:rsidRDefault="009C0FF5" w:rsidP="00CE0748">
      <w:pPr>
        <w:pStyle w:val="Backpage"/>
        <w:rPr>
          <w:color w:val="3C3C3C"/>
        </w:rPr>
      </w:pPr>
      <w:r w:rsidRPr="00CE0748">
        <w:rPr>
          <w:rFonts w:eastAsiaTheme="minorHAnsi"/>
          <w:color w:val="3C3C3C"/>
        </w:rPr>
        <w:t>Translating and Interpreting Service (TIS) – Telephone: 13 14</w:t>
      </w:r>
    </w:p>
    <w:sectPr w:rsidR="009C0FF5" w:rsidRPr="00CE0748" w:rsidSect="003120D7">
      <w:footerReference w:type="even" r:id="rId26"/>
      <w:footerReference w:type="default" r:id="rId2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F3" w:rsidRDefault="00FF2AF3" w:rsidP="00197E95">
      <w:r>
        <w:separator/>
      </w:r>
    </w:p>
    <w:p w:rsidR="00FF2AF3" w:rsidRDefault="00FF2AF3" w:rsidP="00197E95"/>
  </w:endnote>
  <w:endnote w:type="continuationSeparator" w:id="0">
    <w:p w:rsidR="00FF2AF3" w:rsidRDefault="00FF2AF3" w:rsidP="00197E95">
      <w:r>
        <w:continuationSeparator/>
      </w:r>
    </w:p>
    <w:p w:rsidR="00FF2AF3" w:rsidRDefault="00FF2AF3" w:rsidP="00197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E8" w:rsidRDefault="00A334E8">
    <w:pPr>
      <w:pStyle w:val="Footer"/>
    </w:pPr>
    <w:r w:rsidRPr="00D81496">
      <w:t xml:space="preserve">Page </w:t>
    </w:r>
    <w:sdt>
      <w:sdtPr>
        <w:id w:val="1976024559"/>
        <w:docPartObj>
          <w:docPartGallery w:val="Page Numbers (Bottom of Page)"/>
          <w:docPartUnique/>
        </w:docPartObj>
      </w:sdtPr>
      <w:sdtEndPr/>
      <w:sdtContent>
        <w:r w:rsidRPr="00D81496">
          <w:fldChar w:fldCharType="begin"/>
        </w:r>
        <w:r w:rsidRPr="00D81496">
          <w:instrText xml:space="preserve"> PAGE   \* MERGEFORMAT </w:instrText>
        </w:r>
        <w:r w:rsidRPr="00D81496">
          <w:fldChar w:fldCharType="separate"/>
        </w:r>
        <w:r w:rsidR="004E54DF">
          <w:rPr>
            <w:noProof/>
          </w:rPr>
          <w:t>46</w:t>
        </w:r>
        <w:r w:rsidRPr="00D81496">
          <w:fldChar w:fldCharType="end"/>
        </w:r>
      </w:sdtContent>
    </w:sdt>
    <w:r w:rsidRPr="00D81496">
      <w:t xml:space="preserve"> </w:t>
    </w:r>
    <w:r>
      <w:t>- WALGGC Annual Report 2015</w:t>
    </w:r>
    <w:r w:rsidRPr="00D8149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E8" w:rsidRDefault="00A334E8">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r>
      <w:t>Directory – Approved Consultants Panel June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E8" w:rsidRDefault="00A334E8" w:rsidP="00EB54FD">
    <w:pPr>
      <w:pStyle w:val="Footer"/>
      <w:tabs>
        <w:tab w:val="left" w:pos="698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E8" w:rsidRPr="001C479E" w:rsidRDefault="00A334E8" w:rsidP="001C479E">
    <w:pPr>
      <w:pStyle w:val="Footer"/>
      <w:rPr>
        <w:b/>
        <w:bCs/>
      </w:rPr>
    </w:pPr>
    <w:r w:rsidRPr="00D81496">
      <w:t xml:space="preserve">Page </w:t>
    </w:r>
    <w:sdt>
      <w:sdtPr>
        <w:id w:val="1949123230"/>
        <w:docPartObj>
          <w:docPartGallery w:val="Page Numbers (Bottom of Page)"/>
          <w:docPartUnique/>
        </w:docPartObj>
      </w:sdtPr>
      <w:sdtEndPr/>
      <w:sdtContent>
        <w:r w:rsidRPr="00D81496">
          <w:fldChar w:fldCharType="begin"/>
        </w:r>
        <w:r w:rsidRPr="00D81496">
          <w:instrText xml:space="preserve"> PAGE   \* MERGEFORMAT </w:instrText>
        </w:r>
        <w:r w:rsidRPr="00D81496">
          <w:fldChar w:fldCharType="separate"/>
        </w:r>
        <w:r w:rsidR="004E54DF">
          <w:rPr>
            <w:noProof/>
          </w:rPr>
          <w:t>7</w:t>
        </w:r>
        <w:r w:rsidRPr="00D81496">
          <w:fldChar w:fldCharType="end"/>
        </w:r>
      </w:sdtContent>
    </w:sdt>
    <w:r w:rsidRPr="00D81496">
      <w:t xml:space="preserve"> </w:t>
    </w:r>
    <w:r>
      <w:t xml:space="preserve">- </w:t>
    </w:r>
    <w:r w:rsidRPr="00D81496">
      <w:t>WALGGC Annual Report 201</w:t>
    </w:r>
    <w:r>
      <w:t>5</w:t>
    </w:r>
    <w:r w:rsidRPr="00D81496">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E8" w:rsidRPr="00E539D0" w:rsidRDefault="00A334E8" w:rsidP="004508B8">
    <w:pPr>
      <w:pStyle w:val="Footer"/>
      <w:rPr>
        <w:b/>
        <w:bCs/>
      </w:rPr>
    </w:pPr>
    <w:r w:rsidRPr="00D81496">
      <w:t xml:space="preserve">Page </w:t>
    </w:r>
    <w:sdt>
      <w:sdtPr>
        <w:id w:val="-1576584561"/>
        <w:docPartObj>
          <w:docPartGallery w:val="Page Numbers (Bottom of Page)"/>
          <w:docPartUnique/>
        </w:docPartObj>
      </w:sdtPr>
      <w:sdtEndPr/>
      <w:sdtContent>
        <w:r w:rsidRPr="00D81496">
          <w:fldChar w:fldCharType="begin"/>
        </w:r>
        <w:r w:rsidRPr="00D81496">
          <w:instrText xml:space="preserve"> PAGE   \* MERGEFORMAT </w:instrText>
        </w:r>
        <w:r w:rsidRPr="00D81496">
          <w:fldChar w:fldCharType="separate"/>
        </w:r>
        <w:r w:rsidR="004E54DF">
          <w:rPr>
            <w:noProof/>
          </w:rPr>
          <w:t>47</w:t>
        </w:r>
        <w:r w:rsidRPr="00D81496">
          <w:fldChar w:fldCharType="end"/>
        </w:r>
      </w:sdtContent>
    </w:sdt>
    <w:r w:rsidRPr="00D81496">
      <w:t xml:space="preserve"> </w:t>
    </w:r>
    <w:r>
      <w:t xml:space="preserve">- </w:t>
    </w:r>
    <w:r w:rsidRPr="00D81496">
      <w:t>WALGGC Annual Report 201</w:t>
    </w:r>
    <w:r>
      <w:t>5</w:t>
    </w:r>
    <w:r w:rsidRPr="00D81496">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E8" w:rsidRPr="001C479E" w:rsidRDefault="00A334E8" w:rsidP="001C479E">
    <w:pPr>
      <w:pStyle w:val="Footer"/>
    </w:pPr>
    <w:r w:rsidRPr="00D81496">
      <w:t xml:space="preserve">Page </w:t>
    </w:r>
    <w:sdt>
      <w:sdtPr>
        <w:id w:val="1946337617"/>
        <w:docPartObj>
          <w:docPartGallery w:val="Page Numbers (Bottom of Page)"/>
          <w:docPartUnique/>
        </w:docPartObj>
      </w:sdtPr>
      <w:sdtEndPr/>
      <w:sdtContent>
        <w:r w:rsidRPr="00D81496">
          <w:fldChar w:fldCharType="begin"/>
        </w:r>
        <w:r w:rsidRPr="00D81496">
          <w:instrText xml:space="preserve"> PAGE   \* MERGEFORMAT </w:instrText>
        </w:r>
        <w:r w:rsidRPr="00D81496">
          <w:fldChar w:fldCharType="separate"/>
        </w:r>
        <w:r w:rsidR="004E54DF">
          <w:rPr>
            <w:noProof/>
          </w:rPr>
          <w:t>48</w:t>
        </w:r>
        <w:r w:rsidRPr="00D81496">
          <w:fldChar w:fldCharType="end"/>
        </w:r>
      </w:sdtContent>
    </w:sdt>
    <w:r w:rsidRPr="00D81496">
      <w:t xml:space="preserve"> </w:t>
    </w:r>
    <w:r>
      <w:t xml:space="preserve">- </w:t>
    </w:r>
    <w:r w:rsidRPr="00D81496">
      <w:t xml:space="preserve">WALGGC Annual Report 2014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58186"/>
      <w:docPartObj>
        <w:docPartGallery w:val="Page Numbers (Bottom of Page)"/>
        <w:docPartUnique/>
      </w:docPartObj>
    </w:sdtPr>
    <w:sdtEndPr/>
    <w:sdtContent>
      <w:p w:rsidR="00A334E8" w:rsidRPr="00AD740D" w:rsidRDefault="00A334E8" w:rsidP="00EE240C">
        <w:pPr>
          <w:pStyle w:val="Footer"/>
        </w:pPr>
        <w:r>
          <w:t xml:space="preserve">Page </w:t>
        </w:r>
        <w:r w:rsidRPr="00B24486">
          <w:fldChar w:fldCharType="begin"/>
        </w:r>
        <w:r w:rsidRPr="00B24486">
          <w:instrText xml:space="preserve"> PAGE   \* MERGEFORMAT </w:instrText>
        </w:r>
        <w:r w:rsidRPr="00B24486">
          <w:fldChar w:fldCharType="separate"/>
        </w:r>
        <w:r>
          <w:rPr>
            <w:noProof/>
          </w:rPr>
          <w:t>49</w:t>
        </w:r>
        <w:r w:rsidRPr="00B24486">
          <w:fldChar w:fldCharType="end"/>
        </w:r>
        <w:r w:rsidRPr="00622F1E">
          <w:t xml:space="preserve"> </w:t>
        </w:r>
        <w:r>
          <w:t>– Local Government Advisory Board – Annual Report 2013-2014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F3" w:rsidRDefault="00FF2AF3" w:rsidP="00197E95">
      <w:r>
        <w:separator/>
      </w:r>
    </w:p>
    <w:p w:rsidR="00FF2AF3" w:rsidRDefault="00FF2AF3" w:rsidP="00197E95"/>
  </w:footnote>
  <w:footnote w:type="continuationSeparator" w:id="0">
    <w:p w:rsidR="00FF2AF3" w:rsidRDefault="00FF2AF3" w:rsidP="00197E95">
      <w:r>
        <w:continuationSeparator/>
      </w:r>
    </w:p>
    <w:p w:rsidR="00FF2AF3" w:rsidRDefault="00FF2AF3" w:rsidP="00197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E8" w:rsidRDefault="00A334E8" w:rsidP="00197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5882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347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14BB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6F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B44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263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962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C67E8B84"/>
    <w:lvl w:ilvl="0">
      <w:start w:val="1"/>
      <w:numFmt w:val="decimal"/>
      <w:lvlText w:val="%1."/>
      <w:lvlJc w:val="left"/>
      <w:pPr>
        <w:tabs>
          <w:tab w:val="num" w:pos="360"/>
        </w:tabs>
        <w:ind w:left="360" w:hanging="360"/>
      </w:pPr>
    </w:lvl>
  </w:abstractNum>
  <w:abstractNum w:abstractNumId="8" w15:restartNumberingAfterBreak="0">
    <w:nsid w:val="03841829"/>
    <w:multiLevelType w:val="hybridMultilevel"/>
    <w:tmpl w:val="1BFE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0051E4"/>
    <w:multiLevelType w:val="hybridMultilevel"/>
    <w:tmpl w:val="9C387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127933"/>
    <w:multiLevelType w:val="hybridMultilevel"/>
    <w:tmpl w:val="CE2020E2"/>
    <w:lvl w:ilvl="0" w:tplc="1F929F1E">
      <w:start w:val="1"/>
      <w:numFmt w:val="bullet"/>
      <w:pStyle w:val="List-BulletDLGC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B1FBD"/>
    <w:multiLevelType w:val="hybridMultilevel"/>
    <w:tmpl w:val="7DD85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D25FBA"/>
    <w:multiLevelType w:val="hybridMultilevel"/>
    <w:tmpl w:val="790C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D3EF1"/>
    <w:multiLevelType w:val="hybridMultilevel"/>
    <w:tmpl w:val="E4DE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C4E45"/>
    <w:multiLevelType w:val="hybridMultilevel"/>
    <w:tmpl w:val="022E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16B09"/>
    <w:multiLevelType w:val="hybridMultilevel"/>
    <w:tmpl w:val="3C60B1EA"/>
    <w:lvl w:ilvl="0" w:tplc="0F220716">
      <w:start w:val="1"/>
      <w:numFmt w:val="low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B70B51"/>
    <w:multiLevelType w:val="hybridMultilevel"/>
    <w:tmpl w:val="AB08FAE0"/>
    <w:lvl w:ilvl="0" w:tplc="C89C7B4A">
      <w:start w:val="1"/>
      <w:numFmt w:val="bullet"/>
      <w:pStyle w:val="List-Bullets"/>
      <w:lvlText w:val=""/>
      <w:lvlJc w:val="left"/>
      <w:pPr>
        <w:ind w:left="720" w:hanging="360"/>
      </w:pPr>
      <w:rPr>
        <w:rFonts w:ascii="Symbol" w:hAnsi="Symbol" w:hint="default"/>
      </w:rPr>
    </w:lvl>
    <w:lvl w:ilvl="1" w:tplc="2EC823AA">
      <w:start w:val="1"/>
      <w:numFmt w:val="bullet"/>
      <w:pStyle w:val="List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D6356"/>
    <w:multiLevelType w:val="hybridMultilevel"/>
    <w:tmpl w:val="6094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9B77A6"/>
    <w:multiLevelType w:val="hybridMultilevel"/>
    <w:tmpl w:val="BD0AE30C"/>
    <w:lvl w:ilvl="0" w:tplc="E25A3044">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8C44BB"/>
    <w:multiLevelType w:val="hybridMultilevel"/>
    <w:tmpl w:val="EED28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514246"/>
    <w:multiLevelType w:val="hybridMultilevel"/>
    <w:tmpl w:val="1834D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3545F"/>
    <w:multiLevelType w:val="hybridMultilevel"/>
    <w:tmpl w:val="34448202"/>
    <w:lvl w:ilvl="0" w:tplc="0C090001">
      <w:start w:val="1"/>
      <w:numFmt w:val="bullet"/>
      <w:lvlText w:val=""/>
      <w:lvlJc w:val="left"/>
      <w:pPr>
        <w:tabs>
          <w:tab w:val="num" w:pos="1284"/>
        </w:tabs>
        <w:ind w:left="1284" w:hanging="360"/>
      </w:pPr>
      <w:rPr>
        <w:rFonts w:ascii="Symbol" w:hAnsi="Symbol" w:hint="default"/>
      </w:rPr>
    </w:lvl>
    <w:lvl w:ilvl="1" w:tplc="0C090003">
      <w:start w:val="1"/>
      <w:numFmt w:val="bullet"/>
      <w:lvlText w:val="o"/>
      <w:lvlJc w:val="left"/>
      <w:pPr>
        <w:tabs>
          <w:tab w:val="num" w:pos="2004"/>
        </w:tabs>
        <w:ind w:left="2004" w:hanging="360"/>
      </w:pPr>
      <w:rPr>
        <w:rFonts w:ascii="Courier New" w:hAnsi="Courier New" w:cs="Courier New" w:hint="default"/>
      </w:rPr>
    </w:lvl>
    <w:lvl w:ilvl="2" w:tplc="0C090005" w:tentative="1">
      <w:start w:val="1"/>
      <w:numFmt w:val="bullet"/>
      <w:lvlText w:val=""/>
      <w:lvlJc w:val="left"/>
      <w:pPr>
        <w:tabs>
          <w:tab w:val="num" w:pos="2724"/>
        </w:tabs>
        <w:ind w:left="2724" w:hanging="360"/>
      </w:pPr>
      <w:rPr>
        <w:rFonts w:ascii="Wingdings" w:hAnsi="Wingdings" w:hint="default"/>
      </w:rPr>
    </w:lvl>
    <w:lvl w:ilvl="3" w:tplc="0C090001" w:tentative="1">
      <w:start w:val="1"/>
      <w:numFmt w:val="bullet"/>
      <w:lvlText w:val=""/>
      <w:lvlJc w:val="left"/>
      <w:pPr>
        <w:tabs>
          <w:tab w:val="num" w:pos="3444"/>
        </w:tabs>
        <w:ind w:left="3444" w:hanging="360"/>
      </w:pPr>
      <w:rPr>
        <w:rFonts w:ascii="Symbol" w:hAnsi="Symbol" w:hint="default"/>
      </w:rPr>
    </w:lvl>
    <w:lvl w:ilvl="4" w:tplc="0C090003" w:tentative="1">
      <w:start w:val="1"/>
      <w:numFmt w:val="bullet"/>
      <w:lvlText w:val="o"/>
      <w:lvlJc w:val="left"/>
      <w:pPr>
        <w:tabs>
          <w:tab w:val="num" w:pos="4164"/>
        </w:tabs>
        <w:ind w:left="4164" w:hanging="360"/>
      </w:pPr>
      <w:rPr>
        <w:rFonts w:ascii="Courier New" w:hAnsi="Courier New" w:cs="Courier New" w:hint="default"/>
      </w:rPr>
    </w:lvl>
    <w:lvl w:ilvl="5" w:tplc="0C090005" w:tentative="1">
      <w:start w:val="1"/>
      <w:numFmt w:val="bullet"/>
      <w:lvlText w:val=""/>
      <w:lvlJc w:val="left"/>
      <w:pPr>
        <w:tabs>
          <w:tab w:val="num" w:pos="4884"/>
        </w:tabs>
        <w:ind w:left="4884" w:hanging="360"/>
      </w:pPr>
      <w:rPr>
        <w:rFonts w:ascii="Wingdings" w:hAnsi="Wingdings" w:hint="default"/>
      </w:rPr>
    </w:lvl>
    <w:lvl w:ilvl="6" w:tplc="0C090001" w:tentative="1">
      <w:start w:val="1"/>
      <w:numFmt w:val="bullet"/>
      <w:lvlText w:val=""/>
      <w:lvlJc w:val="left"/>
      <w:pPr>
        <w:tabs>
          <w:tab w:val="num" w:pos="5604"/>
        </w:tabs>
        <w:ind w:left="5604" w:hanging="360"/>
      </w:pPr>
      <w:rPr>
        <w:rFonts w:ascii="Symbol" w:hAnsi="Symbol" w:hint="default"/>
      </w:rPr>
    </w:lvl>
    <w:lvl w:ilvl="7" w:tplc="0C090003" w:tentative="1">
      <w:start w:val="1"/>
      <w:numFmt w:val="bullet"/>
      <w:lvlText w:val="o"/>
      <w:lvlJc w:val="left"/>
      <w:pPr>
        <w:tabs>
          <w:tab w:val="num" w:pos="6324"/>
        </w:tabs>
        <w:ind w:left="6324" w:hanging="360"/>
      </w:pPr>
      <w:rPr>
        <w:rFonts w:ascii="Courier New" w:hAnsi="Courier New" w:cs="Courier New" w:hint="default"/>
      </w:rPr>
    </w:lvl>
    <w:lvl w:ilvl="8" w:tplc="0C090005" w:tentative="1">
      <w:start w:val="1"/>
      <w:numFmt w:val="bullet"/>
      <w:lvlText w:val=""/>
      <w:lvlJc w:val="left"/>
      <w:pPr>
        <w:tabs>
          <w:tab w:val="num" w:pos="7044"/>
        </w:tabs>
        <w:ind w:left="7044" w:hanging="360"/>
      </w:pPr>
      <w:rPr>
        <w:rFonts w:ascii="Wingdings" w:hAnsi="Wingdings" w:hint="default"/>
      </w:rPr>
    </w:lvl>
  </w:abstractNum>
  <w:abstractNum w:abstractNumId="24" w15:restartNumberingAfterBreak="0">
    <w:nsid w:val="71691360"/>
    <w:multiLevelType w:val="hybridMultilevel"/>
    <w:tmpl w:val="1A54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8E660F"/>
    <w:multiLevelType w:val="hybridMultilevel"/>
    <w:tmpl w:val="35E2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4907A2"/>
    <w:multiLevelType w:val="hybridMultilevel"/>
    <w:tmpl w:val="FDA4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9F6921"/>
    <w:multiLevelType w:val="hybridMultilevel"/>
    <w:tmpl w:val="BE9A9944"/>
    <w:lvl w:ilvl="0" w:tplc="E782F9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061270"/>
    <w:multiLevelType w:val="hybridMultilevel"/>
    <w:tmpl w:val="8F705564"/>
    <w:lvl w:ilvl="0" w:tplc="CD5A77F2">
      <w:start w:val="1"/>
      <w:numFmt w:val="bullet"/>
      <w:pStyle w:val="Dot1"/>
      <w:lvlText w:val=""/>
      <w:lvlJc w:val="left"/>
      <w:pPr>
        <w:ind w:left="360" w:hanging="360"/>
      </w:pPr>
      <w:rPr>
        <w:rFonts w:ascii="Symbol" w:hAnsi="Symbol" w:hint="default"/>
      </w:rPr>
    </w:lvl>
    <w:lvl w:ilvl="1" w:tplc="ED1012BE">
      <w:start w:val="1"/>
      <w:numFmt w:val="bullet"/>
      <w:pStyle w:val="Dot1"/>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DB140BD"/>
    <w:multiLevelType w:val="hybridMultilevel"/>
    <w:tmpl w:val="82E8702A"/>
    <w:lvl w:ilvl="0" w:tplc="340E5C70">
      <w:start w:val="1"/>
      <w:numFmt w:val="bullet"/>
      <w:pStyle w:val="TOC2"/>
      <w:lvlText w:val=""/>
      <w:lvlJc w:val="left"/>
      <w:pPr>
        <w:ind w:left="720" w:hanging="360"/>
      </w:pPr>
      <w:rPr>
        <w:rFonts w:ascii="Symbol" w:hAnsi="Symbol" w:hint="default"/>
        <w:b w:val="0"/>
      </w:rPr>
    </w:lvl>
    <w:lvl w:ilvl="1" w:tplc="97D67A5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99639B"/>
    <w:multiLevelType w:val="hybridMultilevel"/>
    <w:tmpl w:val="08FC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1"/>
  </w:num>
  <w:num w:numId="4">
    <w:abstractNumId w:val="23"/>
  </w:num>
  <w:num w:numId="5">
    <w:abstractNumId w:val="25"/>
  </w:num>
  <w:num w:numId="6">
    <w:abstractNumId w:val="8"/>
  </w:num>
  <w:num w:numId="7">
    <w:abstractNumId w:val="15"/>
  </w:num>
  <w:num w:numId="8">
    <w:abstractNumId w:val="28"/>
  </w:num>
  <w:num w:numId="9">
    <w:abstractNumId w:val="13"/>
  </w:num>
  <w:num w:numId="10">
    <w:abstractNumId w:val="16"/>
  </w:num>
  <w:num w:numId="11">
    <w:abstractNumId w:val="26"/>
  </w:num>
  <w:num w:numId="12">
    <w:abstractNumId w:val="12"/>
  </w:num>
  <w:num w:numId="13">
    <w:abstractNumId w:val="27"/>
  </w:num>
  <w:num w:numId="14">
    <w:abstractNumId w:val="9"/>
  </w:num>
  <w:num w:numId="15">
    <w:abstractNumId w:val="6"/>
  </w:num>
  <w:num w:numId="16">
    <w:abstractNumId w:val="5"/>
  </w:num>
  <w:num w:numId="17">
    <w:abstractNumId w:val="4"/>
  </w:num>
  <w:num w:numId="18">
    <w:abstractNumId w:val="7"/>
  </w:num>
  <w:num w:numId="19">
    <w:abstractNumId w:val="3"/>
  </w:num>
  <w:num w:numId="20">
    <w:abstractNumId w:val="2"/>
  </w:num>
  <w:num w:numId="21">
    <w:abstractNumId w:val="1"/>
  </w:num>
  <w:num w:numId="22">
    <w:abstractNumId w:val="0"/>
  </w:num>
  <w:num w:numId="23">
    <w:abstractNumId w:val="18"/>
  </w:num>
  <w:num w:numId="24">
    <w:abstractNumId w:val="19"/>
  </w:num>
  <w:num w:numId="25">
    <w:abstractNumId w:val="20"/>
  </w:num>
  <w:num w:numId="26">
    <w:abstractNumId w:val="14"/>
  </w:num>
  <w:num w:numId="27">
    <w:abstractNumId w:val="29"/>
  </w:num>
  <w:num w:numId="28">
    <w:abstractNumId w:val="30"/>
  </w:num>
  <w:num w:numId="29">
    <w:abstractNumId w:val="10"/>
  </w:num>
  <w:num w:numId="30">
    <w:abstractNumId w:val="21"/>
  </w:num>
  <w:num w:numId="31">
    <w:abstractNumId w:val="29"/>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8A"/>
    <w:rsid w:val="00002804"/>
    <w:rsid w:val="00002E2B"/>
    <w:rsid w:val="000054B6"/>
    <w:rsid w:val="000078A3"/>
    <w:rsid w:val="00011526"/>
    <w:rsid w:val="00013367"/>
    <w:rsid w:val="0002072F"/>
    <w:rsid w:val="000217DA"/>
    <w:rsid w:val="00021803"/>
    <w:rsid w:val="00022EBB"/>
    <w:rsid w:val="00024125"/>
    <w:rsid w:val="00024F29"/>
    <w:rsid w:val="00026704"/>
    <w:rsid w:val="00026D80"/>
    <w:rsid w:val="000322BB"/>
    <w:rsid w:val="00033F6A"/>
    <w:rsid w:val="0004074E"/>
    <w:rsid w:val="000407AE"/>
    <w:rsid w:val="00040C36"/>
    <w:rsid w:val="000411E0"/>
    <w:rsid w:val="00041A96"/>
    <w:rsid w:val="00041B5A"/>
    <w:rsid w:val="00043961"/>
    <w:rsid w:val="00043A6D"/>
    <w:rsid w:val="00046526"/>
    <w:rsid w:val="000547D0"/>
    <w:rsid w:val="00054C19"/>
    <w:rsid w:val="000552B0"/>
    <w:rsid w:val="00056DFF"/>
    <w:rsid w:val="000576F5"/>
    <w:rsid w:val="000578BE"/>
    <w:rsid w:val="00060D76"/>
    <w:rsid w:val="00061ACE"/>
    <w:rsid w:val="000622D2"/>
    <w:rsid w:val="00063306"/>
    <w:rsid w:val="00065AF1"/>
    <w:rsid w:val="00065C83"/>
    <w:rsid w:val="00070101"/>
    <w:rsid w:val="00073920"/>
    <w:rsid w:val="00073D9B"/>
    <w:rsid w:val="0007457E"/>
    <w:rsid w:val="00075B4C"/>
    <w:rsid w:val="00077662"/>
    <w:rsid w:val="00081247"/>
    <w:rsid w:val="00083382"/>
    <w:rsid w:val="00085716"/>
    <w:rsid w:val="0008586B"/>
    <w:rsid w:val="000907D7"/>
    <w:rsid w:val="00090E4F"/>
    <w:rsid w:val="00090FF1"/>
    <w:rsid w:val="00091931"/>
    <w:rsid w:val="00092BAD"/>
    <w:rsid w:val="00094325"/>
    <w:rsid w:val="00094DB5"/>
    <w:rsid w:val="00097D56"/>
    <w:rsid w:val="000A1AE0"/>
    <w:rsid w:val="000A41ED"/>
    <w:rsid w:val="000B3283"/>
    <w:rsid w:val="000B4018"/>
    <w:rsid w:val="000B553C"/>
    <w:rsid w:val="000B5D36"/>
    <w:rsid w:val="000C1CA5"/>
    <w:rsid w:val="000C4373"/>
    <w:rsid w:val="000C4F9B"/>
    <w:rsid w:val="000C5254"/>
    <w:rsid w:val="000C62E3"/>
    <w:rsid w:val="000C6D97"/>
    <w:rsid w:val="000D3B39"/>
    <w:rsid w:val="000D6C06"/>
    <w:rsid w:val="000E37AC"/>
    <w:rsid w:val="000E3D5E"/>
    <w:rsid w:val="000E3F6A"/>
    <w:rsid w:val="000E4423"/>
    <w:rsid w:val="000E64BA"/>
    <w:rsid w:val="000F09E1"/>
    <w:rsid w:val="000F28D5"/>
    <w:rsid w:val="000F4B3C"/>
    <w:rsid w:val="000F4D6F"/>
    <w:rsid w:val="000F6BF1"/>
    <w:rsid w:val="000F7678"/>
    <w:rsid w:val="00100A59"/>
    <w:rsid w:val="00100C65"/>
    <w:rsid w:val="001037F6"/>
    <w:rsid w:val="00104462"/>
    <w:rsid w:val="0010781F"/>
    <w:rsid w:val="00113526"/>
    <w:rsid w:val="001156BD"/>
    <w:rsid w:val="00120FBD"/>
    <w:rsid w:val="00121AEF"/>
    <w:rsid w:val="00121C12"/>
    <w:rsid w:val="00122193"/>
    <w:rsid w:val="001245CB"/>
    <w:rsid w:val="00125D8C"/>
    <w:rsid w:val="00130718"/>
    <w:rsid w:val="00130E01"/>
    <w:rsid w:val="00131562"/>
    <w:rsid w:val="001342B5"/>
    <w:rsid w:val="001379B6"/>
    <w:rsid w:val="001402E7"/>
    <w:rsid w:val="00141436"/>
    <w:rsid w:val="001433A1"/>
    <w:rsid w:val="00143B6B"/>
    <w:rsid w:val="00146E1B"/>
    <w:rsid w:val="0015049B"/>
    <w:rsid w:val="00150C4A"/>
    <w:rsid w:val="00151D8D"/>
    <w:rsid w:val="00156A86"/>
    <w:rsid w:val="00170EC5"/>
    <w:rsid w:val="001710BA"/>
    <w:rsid w:val="00171DDA"/>
    <w:rsid w:val="00171E9A"/>
    <w:rsid w:val="00172967"/>
    <w:rsid w:val="001730AF"/>
    <w:rsid w:val="0017574C"/>
    <w:rsid w:val="0017626E"/>
    <w:rsid w:val="00176A04"/>
    <w:rsid w:val="0017736F"/>
    <w:rsid w:val="00177454"/>
    <w:rsid w:val="001775A5"/>
    <w:rsid w:val="001779A0"/>
    <w:rsid w:val="00177D9E"/>
    <w:rsid w:val="0018298F"/>
    <w:rsid w:val="00185FE0"/>
    <w:rsid w:val="001917F0"/>
    <w:rsid w:val="00196D60"/>
    <w:rsid w:val="00197E95"/>
    <w:rsid w:val="001A33BF"/>
    <w:rsid w:val="001A410C"/>
    <w:rsid w:val="001A7038"/>
    <w:rsid w:val="001B0B85"/>
    <w:rsid w:val="001B203C"/>
    <w:rsid w:val="001B49E4"/>
    <w:rsid w:val="001B6A28"/>
    <w:rsid w:val="001B6CDC"/>
    <w:rsid w:val="001C1F69"/>
    <w:rsid w:val="001C39E8"/>
    <w:rsid w:val="001C4177"/>
    <w:rsid w:val="001C479E"/>
    <w:rsid w:val="001C564F"/>
    <w:rsid w:val="001C5802"/>
    <w:rsid w:val="001C5A58"/>
    <w:rsid w:val="001C6B78"/>
    <w:rsid w:val="001C7AB1"/>
    <w:rsid w:val="001D0EF8"/>
    <w:rsid w:val="001D2452"/>
    <w:rsid w:val="001D291A"/>
    <w:rsid w:val="001D4732"/>
    <w:rsid w:val="001D5779"/>
    <w:rsid w:val="001D651E"/>
    <w:rsid w:val="001D76BC"/>
    <w:rsid w:val="001E6E4F"/>
    <w:rsid w:val="001E78D5"/>
    <w:rsid w:val="001E7D3E"/>
    <w:rsid w:val="001F2BF4"/>
    <w:rsid w:val="001F3A55"/>
    <w:rsid w:val="001F4C4B"/>
    <w:rsid w:val="001F66E1"/>
    <w:rsid w:val="001F7D2D"/>
    <w:rsid w:val="00202ED2"/>
    <w:rsid w:val="00204B2F"/>
    <w:rsid w:val="00210BC1"/>
    <w:rsid w:val="0021184E"/>
    <w:rsid w:val="00213252"/>
    <w:rsid w:val="00216AD3"/>
    <w:rsid w:val="00222325"/>
    <w:rsid w:val="002231F7"/>
    <w:rsid w:val="00224023"/>
    <w:rsid w:val="00224C09"/>
    <w:rsid w:val="002251B1"/>
    <w:rsid w:val="00225816"/>
    <w:rsid w:val="00225857"/>
    <w:rsid w:val="00225ADF"/>
    <w:rsid w:val="002262E2"/>
    <w:rsid w:val="00227295"/>
    <w:rsid w:val="002315B1"/>
    <w:rsid w:val="00234A6D"/>
    <w:rsid w:val="002414CA"/>
    <w:rsid w:val="00242AEE"/>
    <w:rsid w:val="0024445E"/>
    <w:rsid w:val="00244B55"/>
    <w:rsid w:val="0024755C"/>
    <w:rsid w:val="002503DB"/>
    <w:rsid w:val="00250759"/>
    <w:rsid w:val="00250DE1"/>
    <w:rsid w:val="002530B8"/>
    <w:rsid w:val="00253C92"/>
    <w:rsid w:val="0025430C"/>
    <w:rsid w:val="00256942"/>
    <w:rsid w:val="00260F36"/>
    <w:rsid w:val="00263403"/>
    <w:rsid w:val="00263592"/>
    <w:rsid w:val="00263A80"/>
    <w:rsid w:val="002654BC"/>
    <w:rsid w:val="0026601D"/>
    <w:rsid w:val="00272586"/>
    <w:rsid w:val="00273691"/>
    <w:rsid w:val="00274804"/>
    <w:rsid w:val="00274E78"/>
    <w:rsid w:val="00275F56"/>
    <w:rsid w:val="00276839"/>
    <w:rsid w:val="00277556"/>
    <w:rsid w:val="002809A1"/>
    <w:rsid w:val="0028225C"/>
    <w:rsid w:val="00282F0E"/>
    <w:rsid w:val="00283917"/>
    <w:rsid w:val="00284027"/>
    <w:rsid w:val="00285B31"/>
    <w:rsid w:val="002867A2"/>
    <w:rsid w:val="00286890"/>
    <w:rsid w:val="002869CB"/>
    <w:rsid w:val="00286ED3"/>
    <w:rsid w:val="002912A0"/>
    <w:rsid w:val="0029288D"/>
    <w:rsid w:val="00295EAE"/>
    <w:rsid w:val="002A37DD"/>
    <w:rsid w:val="002A4167"/>
    <w:rsid w:val="002A42A9"/>
    <w:rsid w:val="002A54DC"/>
    <w:rsid w:val="002A6DA4"/>
    <w:rsid w:val="002B3C93"/>
    <w:rsid w:val="002B3E6D"/>
    <w:rsid w:val="002B406B"/>
    <w:rsid w:val="002B58A7"/>
    <w:rsid w:val="002B6DA8"/>
    <w:rsid w:val="002B7A5D"/>
    <w:rsid w:val="002C2015"/>
    <w:rsid w:val="002C4D27"/>
    <w:rsid w:val="002C661C"/>
    <w:rsid w:val="002C7A2C"/>
    <w:rsid w:val="002D02B8"/>
    <w:rsid w:val="002D4974"/>
    <w:rsid w:val="002D52D3"/>
    <w:rsid w:val="002D7546"/>
    <w:rsid w:val="002D76A6"/>
    <w:rsid w:val="002E05F0"/>
    <w:rsid w:val="002E54F5"/>
    <w:rsid w:val="002E6135"/>
    <w:rsid w:val="002F041D"/>
    <w:rsid w:val="002F4854"/>
    <w:rsid w:val="002F504B"/>
    <w:rsid w:val="002F6E2B"/>
    <w:rsid w:val="00301EC5"/>
    <w:rsid w:val="00302A6D"/>
    <w:rsid w:val="00302F59"/>
    <w:rsid w:val="003040F7"/>
    <w:rsid w:val="00307367"/>
    <w:rsid w:val="0031054C"/>
    <w:rsid w:val="003119F6"/>
    <w:rsid w:val="003120D7"/>
    <w:rsid w:val="0031227F"/>
    <w:rsid w:val="0031279F"/>
    <w:rsid w:val="00312923"/>
    <w:rsid w:val="00313F1D"/>
    <w:rsid w:val="00316D1F"/>
    <w:rsid w:val="00320244"/>
    <w:rsid w:val="00321054"/>
    <w:rsid w:val="00323E82"/>
    <w:rsid w:val="003260AC"/>
    <w:rsid w:val="003268FF"/>
    <w:rsid w:val="00327135"/>
    <w:rsid w:val="003305D6"/>
    <w:rsid w:val="00331983"/>
    <w:rsid w:val="00331A2A"/>
    <w:rsid w:val="00333275"/>
    <w:rsid w:val="00333780"/>
    <w:rsid w:val="00343369"/>
    <w:rsid w:val="00343A6D"/>
    <w:rsid w:val="003442A7"/>
    <w:rsid w:val="00344463"/>
    <w:rsid w:val="00344809"/>
    <w:rsid w:val="00344AAB"/>
    <w:rsid w:val="00351DC6"/>
    <w:rsid w:val="00364676"/>
    <w:rsid w:val="00365E97"/>
    <w:rsid w:val="00366ABF"/>
    <w:rsid w:val="00370F36"/>
    <w:rsid w:val="00371FC7"/>
    <w:rsid w:val="0037682F"/>
    <w:rsid w:val="003829F9"/>
    <w:rsid w:val="00385FA3"/>
    <w:rsid w:val="00386786"/>
    <w:rsid w:val="00386F86"/>
    <w:rsid w:val="0038778A"/>
    <w:rsid w:val="00387828"/>
    <w:rsid w:val="00390A84"/>
    <w:rsid w:val="00390B0F"/>
    <w:rsid w:val="00392E9F"/>
    <w:rsid w:val="00393B71"/>
    <w:rsid w:val="003942FA"/>
    <w:rsid w:val="003945CC"/>
    <w:rsid w:val="0039507C"/>
    <w:rsid w:val="00396F07"/>
    <w:rsid w:val="003971BE"/>
    <w:rsid w:val="003976CF"/>
    <w:rsid w:val="003A17CC"/>
    <w:rsid w:val="003A1F94"/>
    <w:rsid w:val="003A5BAC"/>
    <w:rsid w:val="003B0104"/>
    <w:rsid w:val="003B186E"/>
    <w:rsid w:val="003B6F43"/>
    <w:rsid w:val="003C562F"/>
    <w:rsid w:val="003C594F"/>
    <w:rsid w:val="003D1F75"/>
    <w:rsid w:val="003D2C6D"/>
    <w:rsid w:val="003D33F6"/>
    <w:rsid w:val="003D3CCC"/>
    <w:rsid w:val="003D4512"/>
    <w:rsid w:val="003D5520"/>
    <w:rsid w:val="003E1395"/>
    <w:rsid w:val="003E1859"/>
    <w:rsid w:val="003E2E27"/>
    <w:rsid w:val="003E3C06"/>
    <w:rsid w:val="003E4591"/>
    <w:rsid w:val="003E4FB9"/>
    <w:rsid w:val="003E6B74"/>
    <w:rsid w:val="003F6C1D"/>
    <w:rsid w:val="003F7190"/>
    <w:rsid w:val="004035D1"/>
    <w:rsid w:val="0040392D"/>
    <w:rsid w:val="00404314"/>
    <w:rsid w:val="00404A1D"/>
    <w:rsid w:val="00404F0F"/>
    <w:rsid w:val="00405216"/>
    <w:rsid w:val="00405918"/>
    <w:rsid w:val="00405E48"/>
    <w:rsid w:val="00406097"/>
    <w:rsid w:val="004063AD"/>
    <w:rsid w:val="0041182D"/>
    <w:rsid w:val="00412921"/>
    <w:rsid w:val="00412D68"/>
    <w:rsid w:val="00413BAF"/>
    <w:rsid w:val="00413D31"/>
    <w:rsid w:val="004145EC"/>
    <w:rsid w:val="004146A4"/>
    <w:rsid w:val="00414778"/>
    <w:rsid w:val="00417647"/>
    <w:rsid w:val="004211CF"/>
    <w:rsid w:val="00421B67"/>
    <w:rsid w:val="00421BBF"/>
    <w:rsid w:val="004227CB"/>
    <w:rsid w:val="004235EF"/>
    <w:rsid w:val="00424438"/>
    <w:rsid w:val="0042524D"/>
    <w:rsid w:val="0042529A"/>
    <w:rsid w:val="00426F46"/>
    <w:rsid w:val="00430812"/>
    <w:rsid w:val="00432A59"/>
    <w:rsid w:val="00432D21"/>
    <w:rsid w:val="00435FC2"/>
    <w:rsid w:val="004409EC"/>
    <w:rsid w:val="00440D1C"/>
    <w:rsid w:val="00443097"/>
    <w:rsid w:val="00445315"/>
    <w:rsid w:val="00445E2D"/>
    <w:rsid w:val="00446B7F"/>
    <w:rsid w:val="004508B8"/>
    <w:rsid w:val="004511B5"/>
    <w:rsid w:val="0046044C"/>
    <w:rsid w:val="00461AA9"/>
    <w:rsid w:val="004620CA"/>
    <w:rsid w:val="004643D6"/>
    <w:rsid w:val="004648A4"/>
    <w:rsid w:val="00464C4F"/>
    <w:rsid w:val="004650BF"/>
    <w:rsid w:val="00466C2E"/>
    <w:rsid w:val="004716EF"/>
    <w:rsid w:val="00472029"/>
    <w:rsid w:val="00473A1A"/>
    <w:rsid w:val="00473F1F"/>
    <w:rsid w:val="004743D9"/>
    <w:rsid w:val="004754E4"/>
    <w:rsid w:val="00476EDF"/>
    <w:rsid w:val="004869B1"/>
    <w:rsid w:val="0048793A"/>
    <w:rsid w:val="00490FA1"/>
    <w:rsid w:val="00494611"/>
    <w:rsid w:val="00494C16"/>
    <w:rsid w:val="0049511D"/>
    <w:rsid w:val="004A0A51"/>
    <w:rsid w:val="004A2296"/>
    <w:rsid w:val="004A279D"/>
    <w:rsid w:val="004A445B"/>
    <w:rsid w:val="004A4C87"/>
    <w:rsid w:val="004A5815"/>
    <w:rsid w:val="004A6325"/>
    <w:rsid w:val="004A644F"/>
    <w:rsid w:val="004A64EB"/>
    <w:rsid w:val="004B0FA9"/>
    <w:rsid w:val="004B2596"/>
    <w:rsid w:val="004B3B83"/>
    <w:rsid w:val="004B6B60"/>
    <w:rsid w:val="004B718D"/>
    <w:rsid w:val="004B7750"/>
    <w:rsid w:val="004C06C2"/>
    <w:rsid w:val="004C1478"/>
    <w:rsid w:val="004C17F4"/>
    <w:rsid w:val="004D032B"/>
    <w:rsid w:val="004D0AFD"/>
    <w:rsid w:val="004D2A37"/>
    <w:rsid w:val="004D2ABE"/>
    <w:rsid w:val="004D2B25"/>
    <w:rsid w:val="004D3DE3"/>
    <w:rsid w:val="004D4C07"/>
    <w:rsid w:val="004D5C5C"/>
    <w:rsid w:val="004D5CE3"/>
    <w:rsid w:val="004D5EC6"/>
    <w:rsid w:val="004E13A1"/>
    <w:rsid w:val="004E15FC"/>
    <w:rsid w:val="004E45B6"/>
    <w:rsid w:val="004E54DF"/>
    <w:rsid w:val="004E68D7"/>
    <w:rsid w:val="004E6910"/>
    <w:rsid w:val="004E6A7D"/>
    <w:rsid w:val="004F1833"/>
    <w:rsid w:val="004F307D"/>
    <w:rsid w:val="004F4096"/>
    <w:rsid w:val="004F4219"/>
    <w:rsid w:val="004F509D"/>
    <w:rsid w:val="004F63D9"/>
    <w:rsid w:val="004F738B"/>
    <w:rsid w:val="004F7B4E"/>
    <w:rsid w:val="00501548"/>
    <w:rsid w:val="00501568"/>
    <w:rsid w:val="005021D6"/>
    <w:rsid w:val="00503D95"/>
    <w:rsid w:val="00506991"/>
    <w:rsid w:val="0051018C"/>
    <w:rsid w:val="00511A06"/>
    <w:rsid w:val="00514004"/>
    <w:rsid w:val="005222AC"/>
    <w:rsid w:val="00522E34"/>
    <w:rsid w:val="0053081F"/>
    <w:rsid w:val="005337A3"/>
    <w:rsid w:val="005350BE"/>
    <w:rsid w:val="00536356"/>
    <w:rsid w:val="005363AA"/>
    <w:rsid w:val="00537D99"/>
    <w:rsid w:val="005414F3"/>
    <w:rsid w:val="00542523"/>
    <w:rsid w:val="0054286A"/>
    <w:rsid w:val="0054467E"/>
    <w:rsid w:val="00545E1E"/>
    <w:rsid w:val="00546997"/>
    <w:rsid w:val="00550C17"/>
    <w:rsid w:val="0055133B"/>
    <w:rsid w:val="00551AC4"/>
    <w:rsid w:val="00555CC9"/>
    <w:rsid w:val="00555E95"/>
    <w:rsid w:val="005607BA"/>
    <w:rsid w:val="00560ADA"/>
    <w:rsid w:val="005662B8"/>
    <w:rsid w:val="0057034F"/>
    <w:rsid w:val="0057165C"/>
    <w:rsid w:val="005746EC"/>
    <w:rsid w:val="00574CEF"/>
    <w:rsid w:val="00574F85"/>
    <w:rsid w:val="00575737"/>
    <w:rsid w:val="00576689"/>
    <w:rsid w:val="00577F5F"/>
    <w:rsid w:val="00577F8C"/>
    <w:rsid w:val="00581E02"/>
    <w:rsid w:val="00582844"/>
    <w:rsid w:val="005842C3"/>
    <w:rsid w:val="00584FE1"/>
    <w:rsid w:val="00585CCD"/>
    <w:rsid w:val="005873FA"/>
    <w:rsid w:val="00591CBD"/>
    <w:rsid w:val="00592835"/>
    <w:rsid w:val="00592E3E"/>
    <w:rsid w:val="00593311"/>
    <w:rsid w:val="0059398A"/>
    <w:rsid w:val="00594551"/>
    <w:rsid w:val="005950A4"/>
    <w:rsid w:val="00595E69"/>
    <w:rsid w:val="00596269"/>
    <w:rsid w:val="00596D28"/>
    <w:rsid w:val="005A1286"/>
    <w:rsid w:val="005A2BE0"/>
    <w:rsid w:val="005A2C54"/>
    <w:rsid w:val="005A3137"/>
    <w:rsid w:val="005A36D6"/>
    <w:rsid w:val="005A5706"/>
    <w:rsid w:val="005A61AA"/>
    <w:rsid w:val="005B09DC"/>
    <w:rsid w:val="005B0E57"/>
    <w:rsid w:val="005B0F24"/>
    <w:rsid w:val="005B1012"/>
    <w:rsid w:val="005B1B8A"/>
    <w:rsid w:val="005C18AA"/>
    <w:rsid w:val="005C1BF6"/>
    <w:rsid w:val="005C44BA"/>
    <w:rsid w:val="005C5C8E"/>
    <w:rsid w:val="005C67CF"/>
    <w:rsid w:val="005C6CA5"/>
    <w:rsid w:val="005C72E3"/>
    <w:rsid w:val="005C7F9C"/>
    <w:rsid w:val="005D33C7"/>
    <w:rsid w:val="005D5018"/>
    <w:rsid w:val="005D743F"/>
    <w:rsid w:val="005E03D2"/>
    <w:rsid w:val="005E231F"/>
    <w:rsid w:val="005E4AAD"/>
    <w:rsid w:val="005E61D7"/>
    <w:rsid w:val="005E6283"/>
    <w:rsid w:val="005E6EEE"/>
    <w:rsid w:val="005F12B5"/>
    <w:rsid w:val="005F24EA"/>
    <w:rsid w:val="005F49E9"/>
    <w:rsid w:val="0060021E"/>
    <w:rsid w:val="00601433"/>
    <w:rsid w:val="00602340"/>
    <w:rsid w:val="00602E5D"/>
    <w:rsid w:val="00606BA9"/>
    <w:rsid w:val="00606BDE"/>
    <w:rsid w:val="006073F0"/>
    <w:rsid w:val="00607639"/>
    <w:rsid w:val="00607B99"/>
    <w:rsid w:val="00607FBD"/>
    <w:rsid w:val="00610A74"/>
    <w:rsid w:val="00612228"/>
    <w:rsid w:val="00616ACD"/>
    <w:rsid w:val="006177AB"/>
    <w:rsid w:val="00622031"/>
    <w:rsid w:val="00622BC6"/>
    <w:rsid w:val="00622F1E"/>
    <w:rsid w:val="00623225"/>
    <w:rsid w:val="00623F2E"/>
    <w:rsid w:val="00624F8F"/>
    <w:rsid w:val="006268F8"/>
    <w:rsid w:val="0063216D"/>
    <w:rsid w:val="00632480"/>
    <w:rsid w:val="006341D2"/>
    <w:rsid w:val="006369A4"/>
    <w:rsid w:val="00636B05"/>
    <w:rsid w:val="00636B7C"/>
    <w:rsid w:val="00637126"/>
    <w:rsid w:val="00637AD8"/>
    <w:rsid w:val="00640B08"/>
    <w:rsid w:val="00641F1C"/>
    <w:rsid w:val="006421ED"/>
    <w:rsid w:val="0064268A"/>
    <w:rsid w:val="0064441A"/>
    <w:rsid w:val="006448F6"/>
    <w:rsid w:val="00646910"/>
    <w:rsid w:val="006469A9"/>
    <w:rsid w:val="00652177"/>
    <w:rsid w:val="00654B68"/>
    <w:rsid w:val="00656A26"/>
    <w:rsid w:val="0066055A"/>
    <w:rsid w:val="0066112B"/>
    <w:rsid w:val="006645C7"/>
    <w:rsid w:val="00665AFE"/>
    <w:rsid w:val="00666E88"/>
    <w:rsid w:val="0066775D"/>
    <w:rsid w:val="0067050D"/>
    <w:rsid w:val="0067174B"/>
    <w:rsid w:val="00672D56"/>
    <w:rsid w:val="00672EC6"/>
    <w:rsid w:val="00673FF0"/>
    <w:rsid w:val="00676283"/>
    <w:rsid w:val="00681E58"/>
    <w:rsid w:val="006830A5"/>
    <w:rsid w:val="006837FA"/>
    <w:rsid w:val="00692D54"/>
    <w:rsid w:val="006947FD"/>
    <w:rsid w:val="0069508C"/>
    <w:rsid w:val="00696C71"/>
    <w:rsid w:val="00697A00"/>
    <w:rsid w:val="00697AA2"/>
    <w:rsid w:val="006A0312"/>
    <w:rsid w:val="006A239F"/>
    <w:rsid w:val="006A25D4"/>
    <w:rsid w:val="006A29A8"/>
    <w:rsid w:val="006A4D54"/>
    <w:rsid w:val="006B11A1"/>
    <w:rsid w:val="006B4731"/>
    <w:rsid w:val="006B4E5D"/>
    <w:rsid w:val="006B6B2C"/>
    <w:rsid w:val="006C089B"/>
    <w:rsid w:val="006C36A6"/>
    <w:rsid w:val="006C3714"/>
    <w:rsid w:val="006C4995"/>
    <w:rsid w:val="006C548F"/>
    <w:rsid w:val="006C6FE0"/>
    <w:rsid w:val="006D0CB7"/>
    <w:rsid w:val="006D0E61"/>
    <w:rsid w:val="006D3F14"/>
    <w:rsid w:val="006D6A8E"/>
    <w:rsid w:val="006E065B"/>
    <w:rsid w:val="006E06EF"/>
    <w:rsid w:val="006E0C37"/>
    <w:rsid w:val="006E26F8"/>
    <w:rsid w:val="006E38D9"/>
    <w:rsid w:val="006E54F5"/>
    <w:rsid w:val="006E59E3"/>
    <w:rsid w:val="006E6F3D"/>
    <w:rsid w:val="006E7531"/>
    <w:rsid w:val="006F096E"/>
    <w:rsid w:val="006F099B"/>
    <w:rsid w:val="006F1298"/>
    <w:rsid w:val="006F2168"/>
    <w:rsid w:val="006F461E"/>
    <w:rsid w:val="006F582E"/>
    <w:rsid w:val="006F5CE3"/>
    <w:rsid w:val="006F6931"/>
    <w:rsid w:val="006F6D52"/>
    <w:rsid w:val="006F7785"/>
    <w:rsid w:val="00701DC4"/>
    <w:rsid w:val="00704680"/>
    <w:rsid w:val="0070693E"/>
    <w:rsid w:val="007123E0"/>
    <w:rsid w:val="00716547"/>
    <w:rsid w:val="00716C9D"/>
    <w:rsid w:val="007200BB"/>
    <w:rsid w:val="007209E2"/>
    <w:rsid w:val="00720B27"/>
    <w:rsid w:val="00720EF3"/>
    <w:rsid w:val="00721455"/>
    <w:rsid w:val="00723B4E"/>
    <w:rsid w:val="00723E5B"/>
    <w:rsid w:val="00724D59"/>
    <w:rsid w:val="00725232"/>
    <w:rsid w:val="007266B3"/>
    <w:rsid w:val="00730011"/>
    <w:rsid w:val="0073161D"/>
    <w:rsid w:val="00731AE6"/>
    <w:rsid w:val="00732B4F"/>
    <w:rsid w:val="00732E4E"/>
    <w:rsid w:val="00732F2C"/>
    <w:rsid w:val="0073393A"/>
    <w:rsid w:val="007363F8"/>
    <w:rsid w:val="007378B5"/>
    <w:rsid w:val="00740047"/>
    <w:rsid w:val="007418BB"/>
    <w:rsid w:val="00742AD5"/>
    <w:rsid w:val="007450F8"/>
    <w:rsid w:val="00746B5A"/>
    <w:rsid w:val="00750B12"/>
    <w:rsid w:val="007527A3"/>
    <w:rsid w:val="00753484"/>
    <w:rsid w:val="00753E16"/>
    <w:rsid w:val="00757D0C"/>
    <w:rsid w:val="00757D32"/>
    <w:rsid w:val="00760443"/>
    <w:rsid w:val="00760FDD"/>
    <w:rsid w:val="007618E8"/>
    <w:rsid w:val="00761C2C"/>
    <w:rsid w:val="0076244E"/>
    <w:rsid w:val="00764F9B"/>
    <w:rsid w:val="00765249"/>
    <w:rsid w:val="0077062C"/>
    <w:rsid w:val="00770B2D"/>
    <w:rsid w:val="0077174E"/>
    <w:rsid w:val="00771D9D"/>
    <w:rsid w:val="007724F3"/>
    <w:rsid w:val="00773914"/>
    <w:rsid w:val="00777843"/>
    <w:rsid w:val="00780023"/>
    <w:rsid w:val="0078068C"/>
    <w:rsid w:val="00781D8A"/>
    <w:rsid w:val="00787407"/>
    <w:rsid w:val="0079018A"/>
    <w:rsid w:val="00791087"/>
    <w:rsid w:val="0079163D"/>
    <w:rsid w:val="00791A05"/>
    <w:rsid w:val="0079262F"/>
    <w:rsid w:val="00792BE4"/>
    <w:rsid w:val="0079394E"/>
    <w:rsid w:val="00794A6E"/>
    <w:rsid w:val="00796598"/>
    <w:rsid w:val="0079728D"/>
    <w:rsid w:val="00797E3F"/>
    <w:rsid w:val="007A047E"/>
    <w:rsid w:val="007A1ABB"/>
    <w:rsid w:val="007A1DC8"/>
    <w:rsid w:val="007A24A6"/>
    <w:rsid w:val="007A256B"/>
    <w:rsid w:val="007A4F58"/>
    <w:rsid w:val="007A609F"/>
    <w:rsid w:val="007B0206"/>
    <w:rsid w:val="007B128E"/>
    <w:rsid w:val="007B384B"/>
    <w:rsid w:val="007B41FC"/>
    <w:rsid w:val="007B5AA2"/>
    <w:rsid w:val="007B7713"/>
    <w:rsid w:val="007C049C"/>
    <w:rsid w:val="007C312E"/>
    <w:rsid w:val="007C36C1"/>
    <w:rsid w:val="007C52A6"/>
    <w:rsid w:val="007C5B71"/>
    <w:rsid w:val="007D1D63"/>
    <w:rsid w:val="007D2043"/>
    <w:rsid w:val="007D2AF3"/>
    <w:rsid w:val="007D334C"/>
    <w:rsid w:val="007D38D5"/>
    <w:rsid w:val="007D4D49"/>
    <w:rsid w:val="007D4D67"/>
    <w:rsid w:val="007D6040"/>
    <w:rsid w:val="007D64F1"/>
    <w:rsid w:val="007D6AE3"/>
    <w:rsid w:val="007D7599"/>
    <w:rsid w:val="007D7E92"/>
    <w:rsid w:val="007D7F90"/>
    <w:rsid w:val="007E0626"/>
    <w:rsid w:val="007E15FB"/>
    <w:rsid w:val="007E50C4"/>
    <w:rsid w:val="007E5210"/>
    <w:rsid w:val="007E5C96"/>
    <w:rsid w:val="007E6BE9"/>
    <w:rsid w:val="007E78D9"/>
    <w:rsid w:val="007F37A3"/>
    <w:rsid w:val="007F3999"/>
    <w:rsid w:val="007F60A2"/>
    <w:rsid w:val="0080019A"/>
    <w:rsid w:val="0080112C"/>
    <w:rsid w:val="0080199B"/>
    <w:rsid w:val="00803C38"/>
    <w:rsid w:val="00804DEF"/>
    <w:rsid w:val="00806355"/>
    <w:rsid w:val="008063B0"/>
    <w:rsid w:val="00810999"/>
    <w:rsid w:val="0081271B"/>
    <w:rsid w:val="00813807"/>
    <w:rsid w:val="00815EE3"/>
    <w:rsid w:val="00815F5A"/>
    <w:rsid w:val="008169F9"/>
    <w:rsid w:val="0082269F"/>
    <w:rsid w:val="00823C4B"/>
    <w:rsid w:val="00824C1C"/>
    <w:rsid w:val="00826AFD"/>
    <w:rsid w:val="00826C6B"/>
    <w:rsid w:val="00827A63"/>
    <w:rsid w:val="00827AEC"/>
    <w:rsid w:val="00827E3E"/>
    <w:rsid w:val="00830E94"/>
    <w:rsid w:val="0083183B"/>
    <w:rsid w:val="00831F9C"/>
    <w:rsid w:val="00832F4F"/>
    <w:rsid w:val="008336B9"/>
    <w:rsid w:val="00833DAB"/>
    <w:rsid w:val="00836D1F"/>
    <w:rsid w:val="0083727D"/>
    <w:rsid w:val="008379FF"/>
    <w:rsid w:val="008432B1"/>
    <w:rsid w:val="00847BDA"/>
    <w:rsid w:val="0085113F"/>
    <w:rsid w:val="008518F0"/>
    <w:rsid w:val="00854050"/>
    <w:rsid w:val="008543FE"/>
    <w:rsid w:val="008564F3"/>
    <w:rsid w:val="0085655A"/>
    <w:rsid w:val="00861669"/>
    <w:rsid w:val="00861BC4"/>
    <w:rsid w:val="008628BC"/>
    <w:rsid w:val="00870097"/>
    <w:rsid w:val="00871515"/>
    <w:rsid w:val="00874024"/>
    <w:rsid w:val="00874692"/>
    <w:rsid w:val="008755C3"/>
    <w:rsid w:val="008776DF"/>
    <w:rsid w:val="00880DAE"/>
    <w:rsid w:val="00881A04"/>
    <w:rsid w:val="00881E7F"/>
    <w:rsid w:val="0088341A"/>
    <w:rsid w:val="008848D9"/>
    <w:rsid w:val="00884D42"/>
    <w:rsid w:val="00884D88"/>
    <w:rsid w:val="0088591C"/>
    <w:rsid w:val="00885F48"/>
    <w:rsid w:val="008867BE"/>
    <w:rsid w:val="008963A5"/>
    <w:rsid w:val="00896BF5"/>
    <w:rsid w:val="00896F91"/>
    <w:rsid w:val="0089709D"/>
    <w:rsid w:val="008A082C"/>
    <w:rsid w:val="008A2682"/>
    <w:rsid w:val="008A4649"/>
    <w:rsid w:val="008B16E9"/>
    <w:rsid w:val="008B196F"/>
    <w:rsid w:val="008B2B8F"/>
    <w:rsid w:val="008B2EB3"/>
    <w:rsid w:val="008B4C8F"/>
    <w:rsid w:val="008B5DFC"/>
    <w:rsid w:val="008B6E09"/>
    <w:rsid w:val="008C131B"/>
    <w:rsid w:val="008C3F98"/>
    <w:rsid w:val="008C6780"/>
    <w:rsid w:val="008C6D44"/>
    <w:rsid w:val="008C70B9"/>
    <w:rsid w:val="008C7CBF"/>
    <w:rsid w:val="008D0CD0"/>
    <w:rsid w:val="008D6576"/>
    <w:rsid w:val="008E08A5"/>
    <w:rsid w:val="008E130C"/>
    <w:rsid w:val="008E2EA8"/>
    <w:rsid w:val="008E634C"/>
    <w:rsid w:val="008E697A"/>
    <w:rsid w:val="008F6472"/>
    <w:rsid w:val="008F73D8"/>
    <w:rsid w:val="008F7509"/>
    <w:rsid w:val="009002B6"/>
    <w:rsid w:val="0090143B"/>
    <w:rsid w:val="00902C56"/>
    <w:rsid w:val="00907571"/>
    <w:rsid w:val="0090787F"/>
    <w:rsid w:val="00907BE1"/>
    <w:rsid w:val="00910A12"/>
    <w:rsid w:val="00912F83"/>
    <w:rsid w:val="00913732"/>
    <w:rsid w:val="00913829"/>
    <w:rsid w:val="009148F6"/>
    <w:rsid w:val="0091586C"/>
    <w:rsid w:val="00916048"/>
    <w:rsid w:val="0091638C"/>
    <w:rsid w:val="009177BC"/>
    <w:rsid w:val="00917B39"/>
    <w:rsid w:val="00922405"/>
    <w:rsid w:val="00926869"/>
    <w:rsid w:val="00930C08"/>
    <w:rsid w:val="0093108C"/>
    <w:rsid w:val="00931926"/>
    <w:rsid w:val="009338D5"/>
    <w:rsid w:val="00936271"/>
    <w:rsid w:val="009407A0"/>
    <w:rsid w:val="00942964"/>
    <w:rsid w:val="00942E63"/>
    <w:rsid w:val="00946328"/>
    <w:rsid w:val="0094786F"/>
    <w:rsid w:val="00947A3E"/>
    <w:rsid w:val="00947EE9"/>
    <w:rsid w:val="00947F2A"/>
    <w:rsid w:val="009510F0"/>
    <w:rsid w:val="00953669"/>
    <w:rsid w:val="00954078"/>
    <w:rsid w:val="00954493"/>
    <w:rsid w:val="009564F3"/>
    <w:rsid w:val="00961042"/>
    <w:rsid w:val="00961173"/>
    <w:rsid w:val="00962AAB"/>
    <w:rsid w:val="0096377A"/>
    <w:rsid w:val="00963E46"/>
    <w:rsid w:val="0096578D"/>
    <w:rsid w:val="00967002"/>
    <w:rsid w:val="009703BF"/>
    <w:rsid w:val="00971A20"/>
    <w:rsid w:val="009724E6"/>
    <w:rsid w:val="00974203"/>
    <w:rsid w:val="00974C7C"/>
    <w:rsid w:val="009755FE"/>
    <w:rsid w:val="00975A6C"/>
    <w:rsid w:val="00977B4A"/>
    <w:rsid w:val="00983EAF"/>
    <w:rsid w:val="009847A5"/>
    <w:rsid w:val="00984C46"/>
    <w:rsid w:val="00987445"/>
    <w:rsid w:val="00990254"/>
    <w:rsid w:val="0099046E"/>
    <w:rsid w:val="00995D7A"/>
    <w:rsid w:val="009973E9"/>
    <w:rsid w:val="009A10ED"/>
    <w:rsid w:val="009A5CAD"/>
    <w:rsid w:val="009A646C"/>
    <w:rsid w:val="009B0778"/>
    <w:rsid w:val="009B1821"/>
    <w:rsid w:val="009B2F79"/>
    <w:rsid w:val="009B3CA0"/>
    <w:rsid w:val="009B4FAF"/>
    <w:rsid w:val="009B5719"/>
    <w:rsid w:val="009B7C1A"/>
    <w:rsid w:val="009C00B9"/>
    <w:rsid w:val="009C0FF5"/>
    <w:rsid w:val="009C105D"/>
    <w:rsid w:val="009C2568"/>
    <w:rsid w:val="009C2647"/>
    <w:rsid w:val="009C27D1"/>
    <w:rsid w:val="009C4810"/>
    <w:rsid w:val="009C73EA"/>
    <w:rsid w:val="009C7825"/>
    <w:rsid w:val="009C7BD7"/>
    <w:rsid w:val="009D188A"/>
    <w:rsid w:val="009D1DC8"/>
    <w:rsid w:val="009D2863"/>
    <w:rsid w:val="009D4082"/>
    <w:rsid w:val="009D4AE4"/>
    <w:rsid w:val="009D580E"/>
    <w:rsid w:val="009E13E3"/>
    <w:rsid w:val="009E1E32"/>
    <w:rsid w:val="009E240B"/>
    <w:rsid w:val="009E699B"/>
    <w:rsid w:val="009E770E"/>
    <w:rsid w:val="009E7939"/>
    <w:rsid w:val="009E7B96"/>
    <w:rsid w:val="009F180F"/>
    <w:rsid w:val="009F21FC"/>
    <w:rsid w:val="009F25D0"/>
    <w:rsid w:val="009F3A7B"/>
    <w:rsid w:val="009F481B"/>
    <w:rsid w:val="00A00AAB"/>
    <w:rsid w:val="00A01F98"/>
    <w:rsid w:val="00A03286"/>
    <w:rsid w:val="00A03957"/>
    <w:rsid w:val="00A03C0D"/>
    <w:rsid w:val="00A03C28"/>
    <w:rsid w:val="00A0467C"/>
    <w:rsid w:val="00A047E6"/>
    <w:rsid w:val="00A11013"/>
    <w:rsid w:val="00A13E2B"/>
    <w:rsid w:val="00A149BF"/>
    <w:rsid w:val="00A16A0E"/>
    <w:rsid w:val="00A17082"/>
    <w:rsid w:val="00A20817"/>
    <w:rsid w:val="00A26493"/>
    <w:rsid w:val="00A2779B"/>
    <w:rsid w:val="00A30A61"/>
    <w:rsid w:val="00A329FD"/>
    <w:rsid w:val="00A334E8"/>
    <w:rsid w:val="00A34B75"/>
    <w:rsid w:val="00A34BA0"/>
    <w:rsid w:val="00A36842"/>
    <w:rsid w:val="00A3771C"/>
    <w:rsid w:val="00A44198"/>
    <w:rsid w:val="00A44409"/>
    <w:rsid w:val="00A50C7C"/>
    <w:rsid w:val="00A51E29"/>
    <w:rsid w:val="00A5262D"/>
    <w:rsid w:val="00A52BAB"/>
    <w:rsid w:val="00A53EEB"/>
    <w:rsid w:val="00A55040"/>
    <w:rsid w:val="00A56E5A"/>
    <w:rsid w:val="00A5775E"/>
    <w:rsid w:val="00A6209B"/>
    <w:rsid w:val="00A64976"/>
    <w:rsid w:val="00A64AD7"/>
    <w:rsid w:val="00A662BC"/>
    <w:rsid w:val="00A66857"/>
    <w:rsid w:val="00A671C3"/>
    <w:rsid w:val="00A674FF"/>
    <w:rsid w:val="00A67644"/>
    <w:rsid w:val="00A6765F"/>
    <w:rsid w:val="00A711B7"/>
    <w:rsid w:val="00A71CEC"/>
    <w:rsid w:val="00A72B96"/>
    <w:rsid w:val="00A73FDA"/>
    <w:rsid w:val="00A740FB"/>
    <w:rsid w:val="00A74234"/>
    <w:rsid w:val="00A75AE6"/>
    <w:rsid w:val="00A83BF9"/>
    <w:rsid w:val="00A84D2D"/>
    <w:rsid w:val="00A86EA1"/>
    <w:rsid w:val="00A8790D"/>
    <w:rsid w:val="00A87F48"/>
    <w:rsid w:val="00A936AB"/>
    <w:rsid w:val="00A9485D"/>
    <w:rsid w:val="00A95EB1"/>
    <w:rsid w:val="00A96E36"/>
    <w:rsid w:val="00A9759E"/>
    <w:rsid w:val="00AA0046"/>
    <w:rsid w:val="00AA0A3C"/>
    <w:rsid w:val="00AA0FEA"/>
    <w:rsid w:val="00AA2FC8"/>
    <w:rsid w:val="00AA3223"/>
    <w:rsid w:val="00AA327B"/>
    <w:rsid w:val="00AA467B"/>
    <w:rsid w:val="00AA4D56"/>
    <w:rsid w:val="00AB219B"/>
    <w:rsid w:val="00AB5556"/>
    <w:rsid w:val="00AB69E6"/>
    <w:rsid w:val="00AC0FCF"/>
    <w:rsid w:val="00AC13CD"/>
    <w:rsid w:val="00AC19FC"/>
    <w:rsid w:val="00AC1B57"/>
    <w:rsid w:val="00AC1BD9"/>
    <w:rsid w:val="00AC3FDB"/>
    <w:rsid w:val="00AC71DB"/>
    <w:rsid w:val="00AC7D5E"/>
    <w:rsid w:val="00AD39EF"/>
    <w:rsid w:val="00AD3B32"/>
    <w:rsid w:val="00AD58E3"/>
    <w:rsid w:val="00AD5F2C"/>
    <w:rsid w:val="00AD740D"/>
    <w:rsid w:val="00AE18A5"/>
    <w:rsid w:val="00AE2091"/>
    <w:rsid w:val="00AE2CEF"/>
    <w:rsid w:val="00AE38A8"/>
    <w:rsid w:val="00AE3F78"/>
    <w:rsid w:val="00AF005C"/>
    <w:rsid w:val="00AF5CA0"/>
    <w:rsid w:val="00AF622E"/>
    <w:rsid w:val="00AF7242"/>
    <w:rsid w:val="00B028A9"/>
    <w:rsid w:val="00B03420"/>
    <w:rsid w:val="00B04537"/>
    <w:rsid w:val="00B04A65"/>
    <w:rsid w:val="00B04F15"/>
    <w:rsid w:val="00B0520C"/>
    <w:rsid w:val="00B053D3"/>
    <w:rsid w:val="00B07B20"/>
    <w:rsid w:val="00B10919"/>
    <w:rsid w:val="00B12EB3"/>
    <w:rsid w:val="00B13E22"/>
    <w:rsid w:val="00B15F43"/>
    <w:rsid w:val="00B16908"/>
    <w:rsid w:val="00B21E12"/>
    <w:rsid w:val="00B24486"/>
    <w:rsid w:val="00B24E20"/>
    <w:rsid w:val="00B2501D"/>
    <w:rsid w:val="00B30C71"/>
    <w:rsid w:val="00B30E05"/>
    <w:rsid w:val="00B3129E"/>
    <w:rsid w:val="00B31389"/>
    <w:rsid w:val="00B31F6E"/>
    <w:rsid w:val="00B32CE8"/>
    <w:rsid w:val="00B35A00"/>
    <w:rsid w:val="00B36CC8"/>
    <w:rsid w:val="00B37949"/>
    <w:rsid w:val="00B433D8"/>
    <w:rsid w:val="00B43F71"/>
    <w:rsid w:val="00B45F7D"/>
    <w:rsid w:val="00B461CA"/>
    <w:rsid w:val="00B46734"/>
    <w:rsid w:val="00B4719A"/>
    <w:rsid w:val="00B471BC"/>
    <w:rsid w:val="00B47789"/>
    <w:rsid w:val="00B51602"/>
    <w:rsid w:val="00B54584"/>
    <w:rsid w:val="00B5482C"/>
    <w:rsid w:val="00B55ED1"/>
    <w:rsid w:val="00B6172E"/>
    <w:rsid w:val="00B61C48"/>
    <w:rsid w:val="00B62A9B"/>
    <w:rsid w:val="00B62C78"/>
    <w:rsid w:val="00B661E8"/>
    <w:rsid w:val="00B7104C"/>
    <w:rsid w:val="00B71707"/>
    <w:rsid w:val="00B72A22"/>
    <w:rsid w:val="00B72D64"/>
    <w:rsid w:val="00B73F73"/>
    <w:rsid w:val="00B75346"/>
    <w:rsid w:val="00B779DD"/>
    <w:rsid w:val="00B806D8"/>
    <w:rsid w:val="00B814C4"/>
    <w:rsid w:val="00B81554"/>
    <w:rsid w:val="00B82AA0"/>
    <w:rsid w:val="00B84454"/>
    <w:rsid w:val="00B84FC2"/>
    <w:rsid w:val="00B86D56"/>
    <w:rsid w:val="00B86EC2"/>
    <w:rsid w:val="00B87B48"/>
    <w:rsid w:val="00B933AF"/>
    <w:rsid w:val="00B95A8C"/>
    <w:rsid w:val="00B96167"/>
    <w:rsid w:val="00B962CB"/>
    <w:rsid w:val="00BA1652"/>
    <w:rsid w:val="00BA2770"/>
    <w:rsid w:val="00BA2E41"/>
    <w:rsid w:val="00BA51A4"/>
    <w:rsid w:val="00BB39D9"/>
    <w:rsid w:val="00BB523E"/>
    <w:rsid w:val="00BB5AD9"/>
    <w:rsid w:val="00BC10D5"/>
    <w:rsid w:val="00BC2716"/>
    <w:rsid w:val="00BC2890"/>
    <w:rsid w:val="00BC4CF0"/>
    <w:rsid w:val="00BC4D12"/>
    <w:rsid w:val="00BC6EC9"/>
    <w:rsid w:val="00BC6F9D"/>
    <w:rsid w:val="00BD03E9"/>
    <w:rsid w:val="00BD080F"/>
    <w:rsid w:val="00BD0BAB"/>
    <w:rsid w:val="00BD2FDE"/>
    <w:rsid w:val="00BD3F8F"/>
    <w:rsid w:val="00BD5475"/>
    <w:rsid w:val="00BD5A1B"/>
    <w:rsid w:val="00BD5CA9"/>
    <w:rsid w:val="00BD5FAF"/>
    <w:rsid w:val="00BD65BF"/>
    <w:rsid w:val="00BD67F4"/>
    <w:rsid w:val="00BD6A8A"/>
    <w:rsid w:val="00BE00CC"/>
    <w:rsid w:val="00BE0CA4"/>
    <w:rsid w:val="00BE149C"/>
    <w:rsid w:val="00BE2BB3"/>
    <w:rsid w:val="00BE4CAC"/>
    <w:rsid w:val="00BE6276"/>
    <w:rsid w:val="00BE66DF"/>
    <w:rsid w:val="00BE6BF0"/>
    <w:rsid w:val="00BE6FD3"/>
    <w:rsid w:val="00BE70FA"/>
    <w:rsid w:val="00BE775C"/>
    <w:rsid w:val="00BF449D"/>
    <w:rsid w:val="00BF5D5B"/>
    <w:rsid w:val="00BF5FDC"/>
    <w:rsid w:val="00BF60D5"/>
    <w:rsid w:val="00BF622D"/>
    <w:rsid w:val="00BF6806"/>
    <w:rsid w:val="00C02F33"/>
    <w:rsid w:val="00C0589A"/>
    <w:rsid w:val="00C05F5D"/>
    <w:rsid w:val="00C11924"/>
    <w:rsid w:val="00C12244"/>
    <w:rsid w:val="00C1355D"/>
    <w:rsid w:val="00C16228"/>
    <w:rsid w:val="00C20ABE"/>
    <w:rsid w:val="00C229F1"/>
    <w:rsid w:val="00C2445A"/>
    <w:rsid w:val="00C2474C"/>
    <w:rsid w:val="00C2584B"/>
    <w:rsid w:val="00C25A2E"/>
    <w:rsid w:val="00C25A97"/>
    <w:rsid w:val="00C260AC"/>
    <w:rsid w:val="00C32B38"/>
    <w:rsid w:val="00C37E4D"/>
    <w:rsid w:val="00C40D33"/>
    <w:rsid w:val="00C4151C"/>
    <w:rsid w:val="00C4231C"/>
    <w:rsid w:val="00C42787"/>
    <w:rsid w:val="00C42ED1"/>
    <w:rsid w:val="00C4338B"/>
    <w:rsid w:val="00C442AD"/>
    <w:rsid w:val="00C44451"/>
    <w:rsid w:val="00C446B8"/>
    <w:rsid w:val="00C45337"/>
    <w:rsid w:val="00C462EF"/>
    <w:rsid w:val="00C50E65"/>
    <w:rsid w:val="00C52B16"/>
    <w:rsid w:val="00C5396A"/>
    <w:rsid w:val="00C53EE1"/>
    <w:rsid w:val="00C55270"/>
    <w:rsid w:val="00C55FA9"/>
    <w:rsid w:val="00C56DDC"/>
    <w:rsid w:val="00C56EBD"/>
    <w:rsid w:val="00C579CD"/>
    <w:rsid w:val="00C60947"/>
    <w:rsid w:val="00C60AA4"/>
    <w:rsid w:val="00C64312"/>
    <w:rsid w:val="00C6444F"/>
    <w:rsid w:val="00C650D6"/>
    <w:rsid w:val="00C65166"/>
    <w:rsid w:val="00C657F3"/>
    <w:rsid w:val="00C6745B"/>
    <w:rsid w:val="00C6749D"/>
    <w:rsid w:val="00C722D4"/>
    <w:rsid w:val="00C730F8"/>
    <w:rsid w:val="00C73D64"/>
    <w:rsid w:val="00C74CA0"/>
    <w:rsid w:val="00C805BE"/>
    <w:rsid w:val="00C810EB"/>
    <w:rsid w:val="00C8133B"/>
    <w:rsid w:val="00C824E4"/>
    <w:rsid w:val="00C82605"/>
    <w:rsid w:val="00C839E5"/>
    <w:rsid w:val="00C850C3"/>
    <w:rsid w:val="00C8515F"/>
    <w:rsid w:val="00C85BB9"/>
    <w:rsid w:val="00C8767E"/>
    <w:rsid w:val="00C9210F"/>
    <w:rsid w:val="00C92146"/>
    <w:rsid w:val="00C945A8"/>
    <w:rsid w:val="00C9682C"/>
    <w:rsid w:val="00CA11C0"/>
    <w:rsid w:val="00CA2135"/>
    <w:rsid w:val="00CA2A21"/>
    <w:rsid w:val="00CA3B00"/>
    <w:rsid w:val="00CA4E31"/>
    <w:rsid w:val="00CA61FE"/>
    <w:rsid w:val="00CA71B9"/>
    <w:rsid w:val="00CB0644"/>
    <w:rsid w:val="00CB0CCE"/>
    <w:rsid w:val="00CB2E2D"/>
    <w:rsid w:val="00CB42E2"/>
    <w:rsid w:val="00CB5C3B"/>
    <w:rsid w:val="00CB6EF8"/>
    <w:rsid w:val="00CB72E5"/>
    <w:rsid w:val="00CC4D20"/>
    <w:rsid w:val="00CC747C"/>
    <w:rsid w:val="00CD0C16"/>
    <w:rsid w:val="00CD16C3"/>
    <w:rsid w:val="00CD1C50"/>
    <w:rsid w:val="00CD3864"/>
    <w:rsid w:val="00CD7487"/>
    <w:rsid w:val="00CE01B6"/>
    <w:rsid w:val="00CE0748"/>
    <w:rsid w:val="00CE144D"/>
    <w:rsid w:val="00CE252D"/>
    <w:rsid w:val="00CE278B"/>
    <w:rsid w:val="00CE27D9"/>
    <w:rsid w:val="00CE6C48"/>
    <w:rsid w:val="00CE7D5C"/>
    <w:rsid w:val="00CF0D29"/>
    <w:rsid w:val="00CF191D"/>
    <w:rsid w:val="00CF2295"/>
    <w:rsid w:val="00CF4FCB"/>
    <w:rsid w:val="00CF60CB"/>
    <w:rsid w:val="00CF789D"/>
    <w:rsid w:val="00D01C0F"/>
    <w:rsid w:val="00D023AC"/>
    <w:rsid w:val="00D03C2C"/>
    <w:rsid w:val="00D06918"/>
    <w:rsid w:val="00D07974"/>
    <w:rsid w:val="00D13539"/>
    <w:rsid w:val="00D141A8"/>
    <w:rsid w:val="00D15769"/>
    <w:rsid w:val="00D172FD"/>
    <w:rsid w:val="00D173C1"/>
    <w:rsid w:val="00D22873"/>
    <w:rsid w:val="00D261B9"/>
    <w:rsid w:val="00D27078"/>
    <w:rsid w:val="00D272E1"/>
    <w:rsid w:val="00D27DC3"/>
    <w:rsid w:val="00D301BD"/>
    <w:rsid w:val="00D32CD1"/>
    <w:rsid w:val="00D3422C"/>
    <w:rsid w:val="00D35B55"/>
    <w:rsid w:val="00D378D0"/>
    <w:rsid w:val="00D3795D"/>
    <w:rsid w:val="00D420FA"/>
    <w:rsid w:val="00D4281E"/>
    <w:rsid w:val="00D43204"/>
    <w:rsid w:val="00D43B58"/>
    <w:rsid w:val="00D468D7"/>
    <w:rsid w:val="00D46B30"/>
    <w:rsid w:val="00D46C4A"/>
    <w:rsid w:val="00D46ED0"/>
    <w:rsid w:val="00D51F55"/>
    <w:rsid w:val="00D54933"/>
    <w:rsid w:val="00D55012"/>
    <w:rsid w:val="00D553F9"/>
    <w:rsid w:val="00D56679"/>
    <w:rsid w:val="00D57498"/>
    <w:rsid w:val="00D60BA1"/>
    <w:rsid w:val="00D610F4"/>
    <w:rsid w:val="00D6316C"/>
    <w:rsid w:val="00D64132"/>
    <w:rsid w:val="00D67744"/>
    <w:rsid w:val="00D71104"/>
    <w:rsid w:val="00D727E7"/>
    <w:rsid w:val="00D73DC0"/>
    <w:rsid w:val="00D743BB"/>
    <w:rsid w:val="00D759BF"/>
    <w:rsid w:val="00D75A18"/>
    <w:rsid w:val="00D77BF4"/>
    <w:rsid w:val="00D82B4B"/>
    <w:rsid w:val="00D83D1B"/>
    <w:rsid w:val="00D83F47"/>
    <w:rsid w:val="00D84ABA"/>
    <w:rsid w:val="00D85772"/>
    <w:rsid w:val="00D857E0"/>
    <w:rsid w:val="00D86F4C"/>
    <w:rsid w:val="00D873AE"/>
    <w:rsid w:val="00D92775"/>
    <w:rsid w:val="00D92998"/>
    <w:rsid w:val="00D95250"/>
    <w:rsid w:val="00D95D75"/>
    <w:rsid w:val="00D9650C"/>
    <w:rsid w:val="00D96824"/>
    <w:rsid w:val="00DA0367"/>
    <w:rsid w:val="00DA054C"/>
    <w:rsid w:val="00DA6D01"/>
    <w:rsid w:val="00DB0BAD"/>
    <w:rsid w:val="00DB4A65"/>
    <w:rsid w:val="00DB5AB2"/>
    <w:rsid w:val="00DB7BFA"/>
    <w:rsid w:val="00DC14F8"/>
    <w:rsid w:val="00DC1AD3"/>
    <w:rsid w:val="00DC22C5"/>
    <w:rsid w:val="00DC2310"/>
    <w:rsid w:val="00DC2B68"/>
    <w:rsid w:val="00DC2EAE"/>
    <w:rsid w:val="00DC3A67"/>
    <w:rsid w:val="00DC5B49"/>
    <w:rsid w:val="00DC6A26"/>
    <w:rsid w:val="00DD057A"/>
    <w:rsid w:val="00DD110B"/>
    <w:rsid w:val="00DD31CC"/>
    <w:rsid w:val="00DD7A8D"/>
    <w:rsid w:val="00DD7E4F"/>
    <w:rsid w:val="00DE01AC"/>
    <w:rsid w:val="00DE1569"/>
    <w:rsid w:val="00DE3F96"/>
    <w:rsid w:val="00DE440F"/>
    <w:rsid w:val="00DE4D92"/>
    <w:rsid w:val="00DE6157"/>
    <w:rsid w:val="00DE6591"/>
    <w:rsid w:val="00DE7555"/>
    <w:rsid w:val="00DE7CB4"/>
    <w:rsid w:val="00DF38C5"/>
    <w:rsid w:val="00DF42C0"/>
    <w:rsid w:val="00DF4D0D"/>
    <w:rsid w:val="00E01043"/>
    <w:rsid w:val="00E015A3"/>
    <w:rsid w:val="00E028B6"/>
    <w:rsid w:val="00E05003"/>
    <w:rsid w:val="00E05313"/>
    <w:rsid w:val="00E0643A"/>
    <w:rsid w:val="00E07F40"/>
    <w:rsid w:val="00E118EE"/>
    <w:rsid w:val="00E14E3F"/>
    <w:rsid w:val="00E15F93"/>
    <w:rsid w:val="00E16C27"/>
    <w:rsid w:val="00E16DDE"/>
    <w:rsid w:val="00E16FC4"/>
    <w:rsid w:val="00E1789A"/>
    <w:rsid w:val="00E22179"/>
    <w:rsid w:val="00E222E9"/>
    <w:rsid w:val="00E22329"/>
    <w:rsid w:val="00E23EB0"/>
    <w:rsid w:val="00E24B33"/>
    <w:rsid w:val="00E2512A"/>
    <w:rsid w:val="00E335C6"/>
    <w:rsid w:val="00E34C07"/>
    <w:rsid w:val="00E35944"/>
    <w:rsid w:val="00E37239"/>
    <w:rsid w:val="00E37F80"/>
    <w:rsid w:val="00E404C3"/>
    <w:rsid w:val="00E40B63"/>
    <w:rsid w:val="00E41AE1"/>
    <w:rsid w:val="00E44A1C"/>
    <w:rsid w:val="00E468A8"/>
    <w:rsid w:val="00E47685"/>
    <w:rsid w:val="00E47906"/>
    <w:rsid w:val="00E50459"/>
    <w:rsid w:val="00E506CD"/>
    <w:rsid w:val="00E506FD"/>
    <w:rsid w:val="00E5157D"/>
    <w:rsid w:val="00E556B3"/>
    <w:rsid w:val="00E561A1"/>
    <w:rsid w:val="00E56FD3"/>
    <w:rsid w:val="00E5797A"/>
    <w:rsid w:val="00E63B58"/>
    <w:rsid w:val="00E63C33"/>
    <w:rsid w:val="00E661F2"/>
    <w:rsid w:val="00E678CC"/>
    <w:rsid w:val="00E71B31"/>
    <w:rsid w:val="00E72C4F"/>
    <w:rsid w:val="00E73A60"/>
    <w:rsid w:val="00E77C39"/>
    <w:rsid w:val="00E77DB7"/>
    <w:rsid w:val="00E80460"/>
    <w:rsid w:val="00E80E4F"/>
    <w:rsid w:val="00E82453"/>
    <w:rsid w:val="00E863A2"/>
    <w:rsid w:val="00E872D4"/>
    <w:rsid w:val="00E8750D"/>
    <w:rsid w:val="00E907AC"/>
    <w:rsid w:val="00E90977"/>
    <w:rsid w:val="00E9277E"/>
    <w:rsid w:val="00E93B6E"/>
    <w:rsid w:val="00E945EC"/>
    <w:rsid w:val="00E95900"/>
    <w:rsid w:val="00E967D7"/>
    <w:rsid w:val="00EA21B8"/>
    <w:rsid w:val="00EA31E3"/>
    <w:rsid w:val="00EA3301"/>
    <w:rsid w:val="00EA3B8D"/>
    <w:rsid w:val="00EA44F8"/>
    <w:rsid w:val="00EA4A14"/>
    <w:rsid w:val="00EA721E"/>
    <w:rsid w:val="00EB1067"/>
    <w:rsid w:val="00EB25ED"/>
    <w:rsid w:val="00EB4035"/>
    <w:rsid w:val="00EB4C28"/>
    <w:rsid w:val="00EB54FD"/>
    <w:rsid w:val="00EC07FE"/>
    <w:rsid w:val="00EC14B2"/>
    <w:rsid w:val="00EC168F"/>
    <w:rsid w:val="00EC16FB"/>
    <w:rsid w:val="00EC31A2"/>
    <w:rsid w:val="00EC44B3"/>
    <w:rsid w:val="00EC5D5C"/>
    <w:rsid w:val="00EC6B1F"/>
    <w:rsid w:val="00EC6F10"/>
    <w:rsid w:val="00EC7A09"/>
    <w:rsid w:val="00ED063A"/>
    <w:rsid w:val="00ED0B75"/>
    <w:rsid w:val="00ED2BC0"/>
    <w:rsid w:val="00ED3751"/>
    <w:rsid w:val="00ED60CF"/>
    <w:rsid w:val="00ED6701"/>
    <w:rsid w:val="00ED6B4D"/>
    <w:rsid w:val="00ED7395"/>
    <w:rsid w:val="00EE240C"/>
    <w:rsid w:val="00EE2E5A"/>
    <w:rsid w:val="00EE3C0E"/>
    <w:rsid w:val="00EE6210"/>
    <w:rsid w:val="00EE6717"/>
    <w:rsid w:val="00EF050A"/>
    <w:rsid w:val="00EF19C8"/>
    <w:rsid w:val="00EF1AA4"/>
    <w:rsid w:val="00EF1FD5"/>
    <w:rsid w:val="00EF2016"/>
    <w:rsid w:val="00EF27F9"/>
    <w:rsid w:val="00EF28FD"/>
    <w:rsid w:val="00EF29B2"/>
    <w:rsid w:val="00EF49EF"/>
    <w:rsid w:val="00EF54D3"/>
    <w:rsid w:val="00EF74FD"/>
    <w:rsid w:val="00F00C49"/>
    <w:rsid w:val="00F0120A"/>
    <w:rsid w:val="00F023DC"/>
    <w:rsid w:val="00F10FEC"/>
    <w:rsid w:val="00F11F22"/>
    <w:rsid w:val="00F125D4"/>
    <w:rsid w:val="00F132C4"/>
    <w:rsid w:val="00F13E85"/>
    <w:rsid w:val="00F14EE1"/>
    <w:rsid w:val="00F14FD3"/>
    <w:rsid w:val="00F16803"/>
    <w:rsid w:val="00F1742F"/>
    <w:rsid w:val="00F21B9E"/>
    <w:rsid w:val="00F234F8"/>
    <w:rsid w:val="00F23E43"/>
    <w:rsid w:val="00F24B5C"/>
    <w:rsid w:val="00F24B6D"/>
    <w:rsid w:val="00F24EDD"/>
    <w:rsid w:val="00F3541B"/>
    <w:rsid w:val="00F355E3"/>
    <w:rsid w:val="00F35E2E"/>
    <w:rsid w:val="00F36F60"/>
    <w:rsid w:val="00F37E22"/>
    <w:rsid w:val="00F37E4D"/>
    <w:rsid w:val="00F401F7"/>
    <w:rsid w:val="00F432AF"/>
    <w:rsid w:val="00F43A8E"/>
    <w:rsid w:val="00F43AA3"/>
    <w:rsid w:val="00F46B7A"/>
    <w:rsid w:val="00F4710E"/>
    <w:rsid w:val="00F47459"/>
    <w:rsid w:val="00F4757B"/>
    <w:rsid w:val="00F505BB"/>
    <w:rsid w:val="00F50701"/>
    <w:rsid w:val="00F56CE3"/>
    <w:rsid w:val="00F61125"/>
    <w:rsid w:val="00F623E6"/>
    <w:rsid w:val="00F65714"/>
    <w:rsid w:val="00F65FCC"/>
    <w:rsid w:val="00F66DA8"/>
    <w:rsid w:val="00F71E46"/>
    <w:rsid w:val="00F724CD"/>
    <w:rsid w:val="00F72EBE"/>
    <w:rsid w:val="00F739FB"/>
    <w:rsid w:val="00F748BF"/>
    <w:rsid w:val="00F751B7"/>
    <w:rsid w:val="00F76A1A"/>
    <w:rsid w:val="00F7727B"/>
    <w:rsid w:val="00F777FF"/>
    <w:rsid w:val="00F82582"/>
    <w:rsid w:val="00F8312E"/>
    <w:rsid w:val="00F833AB"/>
    <w:rsid w:val="00F83CFF"/>
    <w:rsid w:val="00F84564"/>
    <w:rsid w:val="00F860DE"/>
    <w:rsid w:val="00F8782A"/>
    <w:rsid w:val="00F93E10"/>
    <w:rsid w:val="00F9553F"/>
    <w:rsid w:val="00F95E55"/>
    <w:rsid w:val="00FA0C4A"/>
    <w:rsid w:val="00FA1486"/>
    <w:rsid w:val="00FA1C7C"/>
    <w:rsid w:val="00FA1D41"/>
    <w:rsid w:val="00FA464B"/>
    <w:rsid w:val="00FA56A6"/>
    <w:rsid w:val="00FA5B84"/>
    <w:rsid w:val="00FA6E5C"/>
    <w:rsid w:val="00FA716C"/>
    <w:rsid w:val="00FB02DC"/>
    <w:rsid w:val="00FB17B5"/>
    <w:rsid w:val="00FB342B"/>
    <w:rsid w:val="00FB3435"/>
    <w:rsid w:val="00FB44AE"/>
    <w:rsid w:val="00FB7DD2"/>
    <w:rsid w:val="00FC2E9E"/>
    <w:rsid w:val="00FC3568"/>
    <w:rsid w:val="00FC385F"/>
    <w:rsid w:val="00FC437B"/>
    <w:rsid w:val="00FC4DC5"/>
    <w:rsid w:val="00FC61EF"/>
    <w:rsid w:val="00FC6CAB"/>
    <w:rsid w:val="00FC7A49"/>
    <w:rsid w:val="00FD18DD"/>
    <w:rsid w:val="00FD5778"/>
    <w:rsid w:val="00FD5F49"/>
    <w:rsid w:val="00FD6832"/>
    <w:rsid w:val="00FE11C3"/>
    <w:rsid w:val="00FE1288"/>
    <w:rsid w:val="00FE1619"/>
    <w:rsid w:val="00FE1E56"/>
    <w:rsid w:val="00FE202A"/>
    <w:rsid w:val="00FE3534"/>
    <w:rsid w:val="00FE44B9"/>
    <w:rsid w:val="00FE456E"/>
    <w:rsid w:val="00FE469D"/>
    <w:rsid w:val="00FE6A9E"/>
    <w:rsid w:val="00FE6B20"/>
    <w:rsid w:val="00FF0D39"/>
    <w:rsid w:val="00FF2AF3"/>
    <w:rsid w:val="00FF306D"/>
    <w:rsid w:val="00FF3A5B"/>
    <w:rsid w:val="00FF4FA6"/>
    <w:rsid w:val="00FF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6A9DD-C4D1-45AA-A2FD-C3CADB00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0C16"/>
    <w:pPr>
      <w:spacing w:line="312" w:lineRule="auto"/>
    </w:pPr>
    <w:rPr>
      <w:rFonts w:ascii="Arial" w:hAnsi="Arial" w:cs="Arial"/>
      <w:color w:val="58585B"/>
      <w:sz w:val="24"/>
      <w:szCs w:val="24"/>
      <w:lang w:eastAsia="en-AU"/>
    </w:rPr>
  </w:style>
  <w:style w:type="paragraph" w:styleId="Heading1">
    <w:name w:val="heading 1"/>
    <w:basedOn w:val="Normal"/>
    <w:link w:val="Heading1Char"/>
    <w:uiPriority w:val="9"/>
    <w:qFormat/>
    <w:rsid w:val="00672D56"/>
    <w:pPr>
      <w:spacing w:before="100" w:beforeAutospacing="1" w:after="480" w:line="240" w:lineRule="auto"/>
      <w:outlineLvl w:val="0"/>
    </w:pPr>
    <w:rPr>
      <w:rFonts w:ascii="Trebuchet MS" w:hAnsi="Trebuchet MS"/>
      <w:bCs/>
      <w:color w:val="007DBA"/>
      <w:kern w:val="36"/>
      <w:sz w:val="40"/>
      <w:szCs w:val="44"/>
    </w:rPr>
  </w:style>
  <w:style w:type="paragraph" w:styleId="Heading2">
    <w:name w:val="heading 2"/>
    <w:basedOn w:val="Normal"/>
    <w:next w:val="Normal"/>
    <w:link w:val="Heading2Char"/>
    <w:uiPriority w:val="9"/>
    <w:unhideWhenUsed/>
    <w:qFormat/>
    <w:rsid w:val="006E06EF"/>
    <w:pPr>
      <w:keepNext/>
      <w:keepLines/>
      <w:spacing w:before="640" w:line="264" w:lineRule="auto"/>
      <w:outlineLvl w:val="1"/>
    </w:pPr>
    <w:rPr>
      <w:rFonts w:ascii="Trebuchet MS" w:eastAsiaTheme="majorEastAsia" w:hAnsi="Trebuchet MS"/>
      <w:bCs/>
      <w:color w:val="007DBA"/>
      <w:sz w:val="32"/>
      <w:szCs w:val="32"/>
    </w:rPr>
  </w:style>
  <w:style w:type="paragraph" w:styleId="Heading3">
    <w:name w:val="heading 3"/>
    <w:basedOn w:val="Heading2"/>
    <w:next w:val="Normal"/>
    <w:link w:val="Heading3Char"/>
    <w:uiPriority w:val="9"/>
    <w:unhideWhenUsed/>
    <w:qFormat/>
    <w:rsid w:val="006C089B"/>
    <w:pPr>
      <w:spacing w:before="480"/>
      <w:outlineLvl w:val="2"/>
    </w:pPr>
    <w:rPr>
      <w:rFonts w:cstheme="majorBidi"/>
      <w:b/>
      <w:color w:val="965014"/>
      <w:sz w:val="28"/>
    </w:rPr>
  </w:style>
  <w:style w:type="paragraph" w:styleId="Heading4">
    <w:name w:val="heading 4"/>
    <w:basedOn w:val="Normal"/>
    <w:next w:val="Normal"/>
    <w:link w:val="Heading4Char"/>
    <w:uiPriority w:val="9"/>
    <w:unhideWhenUsed/>
    <w:qFormat/>
    <w:rsid w:val="001B49E4"/>
    <w:pPr>
      <w:keepNext/>
      <w:keepLines/>
      <w:spacing w:before="200"/>
      <w:outlineLvl w:val="3"/>
    </w:pPr>
    <w:rPr>
      <w:rFonts w:eastAsiaTheme="majorEastAsia"/>
      <w:b/>
      <w:bCs/>
      <w:iCs/>
    </w:rPr>
  </w:style>
  <w:style w:type="paragraph" w:styleId="Heading5">
    <w:name w:val="heading 5"/>
    <w:basedOn w:val="Normal"/>
    <w:next w:val="Normal"/>
    <w:link w:val="Heading5Char"/>
    <w:uiPriority w:val="9"/>
    <w:unhideWhenUsed/>
    <w:qFormat/>
    <w:rsid w:val="007778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0C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D56"/>
    <w:rPr>
      <w:rFonts w:ascii="Trebuchet MS" w:hAnsi="Trebuchet MS" w:cs="Arial"/>
      <w:bCs/>
      <w:color w:val="007DBA"/>
      <w:kern w:val="36"/>
      <w:sz w:val="40"/>
      <w:szCs w:val="44"/>
      <w:lang w:eastAsia="en-AU"/>
    </w:rPr>
  </w:style>
  <w:style w:type="character" w:customStyle="1" w:styleId="Heading2Char">
    <w:name w:val="Heading 2 Char"/>
    <w:basedOn w:val="DefaultParagraphFont"/>
    <w:link w:val="Heading2"/>
    <w:uiPriority w:val="9"/>
    <w:rsid w:val="006E06EF"/>
    <w:rPr>
      <w:rFonts w:ascii="Trebuchet MS" w:eastAsiaTheme="majorEastAsia" w:hAnsi="Trebuchet MS" w:cs="Arial"/>
      <w:bCs/>
      <w:color w:val="007DBA"/>
      <w:sz w:val="32"/>
      <w:szCs w:val="32"/>
      <w:lang w:eastAsia="en-AU"/>
    </w:rPr>
  </w:style>
  <w:style w:type="character" w:customStyle="1" w:styleId="Heading3Char">
    <w:name w:val="Heading 3 Char"/>
    <w:basedOn w:val="DefaultParagraphFont"/>
    <w:link w:val="Heading3"/>
    <w:uiPriority w:val="9"/>
    <w:rsid w:val="006C089B"/>
    <w:rPr>
      <w:rFonts w:ascii="Trebuchet MS" w:eastAsiaTheme="majorEastAsia" w:hAnsi="Trebuchet MS" w:cstheme="majorBidi"/>
      <w:b/>
      <w:bCs/>
      <w:color w:val="965014"/>
      <w:sz w:val="28"/>
      <w:szCs w:val="32"/>
      <w:lang w:eastAsia="en-AU"/>
    </w:rPr>
  </w:style>
  <w:style w:type="character" w:customStyle="1" w:styleId="Heading4Char">
    <w:name w:val="Heading 4 Char"/>
    <w:basedOn w:val="DefaultParagraphFont"/>
    <w:link w:val="Heading4"/>
    <w:uiPriority w:val="9"/>
    <w:rsid w:val="001B49E4"/>
    <w:rPr>
      <w:rFonts w:ascii="Arial" w:eastAsiaTheme="majorEastAsia" w:hAnsi="Arial" w:cs="Arial"/>
      <w:b/>
      <w:bCs/>
      <w:iCs/>
      <w:sz w:val="24"/>
      <w:szCs w:val="24"/>
      <w:lang w:eastAsia="en-AU"/>
    </w:rPr>
  </w:style>
  <w:style w:type="character" w:customStyle="1" w:styleId="Heading5Char">
    <w:name w:val="Heading 5 Char"/>
    <w:basedOn w:val="DefaultParagraphFont"/>
    <w:link w:val="Heading5"/>
    <w:uiPriority w:val="9"/>
    <w:rsid w:val="00777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A0C4A"/>
    <w:rPr>
      <w:rFonts w:asciiTheme="majorHAnsi" w:eastAsiaTheme="majorEastAsia" w:hAnsiTheme="majorHAnsi" w:cstheme="majorBidi"/>
      <w:i/>
      <w:iCs/>
      <w:color w:val="243F60" w:themeColor="accent1" w:themeShade="7F"/>
      <w:sz w:val="24"/>
      <w:szCs w:val="24"/>
      <w:lang w:eastAsia="en-AU"/>
    </w:rPr>
  </w:style>
  <w:style w:type="character" w:styleId="Hyperlink">
    <w:name w:val="Hyperlink"/>
    <w:basedOn w:val="DefaultParagraphFont"/>
    <w:uiPriority w:val="99"/>
    <w:unhideWhenUsed/>
    <w:rsid w:val="00273691"/>
    <w:rPr>
      <w:color w:val="0065B0"/>
      <w:u w:val="single"/>
    </w:rPr>
  </w:style>
  <w:style w:type="paragraph" w:styleId="ListParagraph">
    <w:name w:val="List Paragraph"/>
    <w:basedOn w:val="Normal"/>
    <w:uiPriority w:val="34"/>
    <w:qFormat/>
    <w:rsid w:val="00B04A65"/>
    <w:pPr>
      <w:ind w:left="720"/>
    </w:pPr>
  </w:style>
  <w:style w:type="paragraph" w:styleId="NormalWeb">
    <w:name w:val="Normal (Web)"/>
    <w:basedOn w:val="Normal"/>
    <w:uiPriority w:val="99"/>
    <w:unhideWhenUsed/>
    <w:rsid w:val="004D2A37"/>
    <w:rPr>
      <w:rFonts w:cs="Times New Roman"/>
    </w:rPr>
  </w:style>
  <w:style w:type="character" w:styleId="FootnoteReference">
    <w:name w:val="footnote reference"/>
    <w:basedOn w:val="DefaultParagraphFont"/>
    <w:uiPriority w:val="99"/>
    <w:semiHidden/>
    <w:unhideWhenUsed/>
    <w:rsid w:val="00D857E0"/>
    <w:rPr>
      <w:vertAlign w:val="superscript"/>
    </w:rPr>
  </w:style>
  <w:style w:type="paragraph" w:styleId="FootnoteText">
    <w:name w:val="footnote text"/>
    <w:basedOn w:val="Normal"/>
    <w:link w:val="FootnoteTextChar"/>
    <w:uiPriority w:val="99"/>
    <w:unhideWhenUsed/>
    <w:rsid w:val="00AC7D5E"/>
    <w:pPr>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rsid w:val="00AC7D5E"/>
    <w:rPr>
      <w:rFonts w:ascii="Arial" w:eastAsia="Times New Roman" w:hAnsi="Arial" w:cs="Arial"/>
      <w:color w:val="000000" w:themeColor="text1"/>
      <w:sz w:val="20"/>
      <w:szCs w:val="20"/>
      <w:lang w:eastAsia="en-AU"/>
    </w:rPr>
  </w:style>
  <w:style w:type="paragraph" w:styleId="NoSpacing">
    <w:name w:val="No Spacing"/>
    <w:uiPriority w:val="1"/>
    <w:qFormat/>
    <w:rsid w:val="00F10FEC"/>
    <w:pPr>
      <w:spacing w:after="0" w:line="240" w:lineRule="auto"/>
    </w:pPr>
  </w:style>
  <w:style w:type="paragraph" w:styleId="Header">
    <w:name w:val="header"/>
    <w:basedOn w:val="Normal"/>
    <w:link w:val="HeaderChar"/>
    <w:uiPriority w:val="99"/>
    <w:unhideWhenUsed/>
    <w:rsid w:val="00F10FEC"/>
    <w:pPr>
      <w:tabs>
        <w:tab w:val="center" w:pos="4513"/>
        <w:tab w:val="right" w:pos="9026"/>
      </w:tabs>
    </w:pPr>
  </w:style>
  <w:style w:type="character" w:customStyle="1" w:styleId="HeaderChar">
    <w:name w:val="Header Char"/>
    <w:basedOn w:val="DefaultParagraphFont"/>
    <w:link w:val="Header"/>
    <w:uiPriority w:val="99"/>
    <w:rsid w:val="00F10FEC"/>
  </w:style>
  <w:style w:type="paragraph" w:styleId="Footer">
    <w:name w:val="footer"/>
    <w:basedOn w:val="Normal"/>
    <w:link w:val="FooterChar"/>
    <w:uiPriority w:val="99"/>
    <w:unhideWhenUsed/>
    <w:rsid w:val="00FE469D"/>
    <w:pPr>
      <w:tabs>
        <w:tab w:val="center" w:pos="4513"/>
        <w:tab w:val="right" w:pos="9026"/>
      </w:tabs>
      <w:spacing w:before="240" w:after="0" w:line="240" w:lineRule="auto"/>
    </w:pPr>
    <w:rPr>
      <w:sz w:val="22"/>
      <w:szCs w:val="22"/>
    </w:rPr>
  </w:style>
  <w:style w:type="character" w:customStyle="1" w:styleId="FooterChar">
    <w:name w:val="Footer Char"/>
    <w:basedOn w:val="DefaultParagraphFont"/>
    <w:link w:val="Footer"/>
    <w:uiPriority w:val="99"/>
    <w:rsid w:val="00FE469D"/>
    <w:rPr>
      <w:rFonts w:ascii="Arial" w:hAnsi="Arial" w:cs="Arial"/>
      <w:lang w:eastAsia="en-AU"/>
    </w:rPr>
  </w:style>
  <w:style w:type="character" w:styleId="Emphasis">
    <w:name w:val="Emphasis"/>
    <w:uiPriority w:val="20"/>
    <w:qFormat/>
    <w:rsid w:val="0083183B"/>
    <w:rPr>
      <w:rFonts w:ascii="Arial" w:hAnsi="Arial"/>
      <w:b/>
      <w:color w:val="007DBA"/>
      <w:sz w:val="24"/>
    </w:rPr>
  </w:style>
  <w:style w:type="character" w:styleId="Strong">
    <w:name w:val="Strong"/>
    <w:basedOn w:val="Emphasis"/>
    <w:uiPriority w:val="22"/>
    <w:qFormat/>
    <w:rsid w:val="00AD3B32"/>
    <w:rPr>
      <w:rFonts w:ascii="Arial" w:hAnsi="Arial"/>
      <w:b/>
      <w:color w:val="007DBA"/>
      <w:sz w:val="24"/>
    </w:rPr>
  </w:style>
  <w:style w:type="character" w:styleId="FollowedHyperlink">
    <w:name w:val="FollowedHyperlink"/>
    <w:basedOn w:val="DefaultParagraphFont"/>
    <w:uiPriority w:val="99"/>
    <w:semiHidden/>
    <w:unhideWhenUsed/>
    <w:rsid w:val="00D023AC"/>
    <w:rPr>
      <w:color w:val="007DBA"/>
      <w:u w:val="single"/>
    </w:rPr>
  </w:style>
  <w:style w:type="table" w:styleId="TableGrid">
    <w:name w:val="Table Grid"/>
    <w:basedOn w:val="TableNormal"/>
    <w:uiPriority w:val="59"/>
    <w:rsid w:val="00884D88"/>
    <w:pPr>
      <w:spacing w:before="120" w:after="12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rsid w:val="00F61125"/>
    <w:pPr>
      <w:spacing w:before="100" w:beforeAutospacing="1" w:after="100" w:afterAutospacing="1"/>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24486"/>
    <w:rPr>
      <w:rFonts w:ascii="Tahoma" w:hAnsi="Tahoma" w:cs="Tahoma"/>
      <w:sz w:val="16"/>
      <w:szCs w:val="16"/>
    </w:rPr>
  </w:style>
  <w:style w:type="character" w:customStyle="1" w:styleId="BalloonTextChar">
    <w:name w:val="Balloon Text Char"/>
    <w:basedOn w:val="DefaultParagraphFont"/>
    <w:link w:val="BalloonText"/>
    <w:uiPriority w:val="99"/>
    <w:semiHidden/>
    <w:rsid w:val="00B24486"/>
    <w:rPr>
      <w:rFonts w:ascii="Tahoma" w:hAnsi="Tahoma" w:cs="Tahoma"/>
      <w:sz w:val="16"/>
      <w:szCs w:val="16"/>
    </w:rPr>
  </w:style>
  <w:style w:type="character" w:styleId="CommentReference">
    <w:name w:val="annotation reference"/>
    <w:basedOn w:val="DefaultParagraphFont"/>
    <w:uiPriority w:val="99"/>
    <w:semiHidden/>
    <w:unhideWhenUsed/>
    <w:rsid w:val="002C4D27"/>
    <w:rPr>
      <w:sz w:val="16"/>
      <w:szCs w:val="16"/>
    </w:rPr>
  </w:style>
  <w:style w:type="paragraph" w:styleId="CommentText">
    <w:name w:val="annotation text"/>
    <w:basedOn w:val="Normal"/>
    <w:link w:val="CommentTextChar"/>
    <w:uiPriority w:val="99"/>
    <w:unhideWhenUsed/>
    <w:rsid w:val="002C4D27"/>
    <w:rPr>
      <w:sz w:val="20"/>
      <w:szCs w:val="20"/>
    </w:rPr>
  </w:style>
  <w:style w:type="character" w:customStyle="1" w:styleId="CommentTextChar">
    <w:name w:val="Comment Text Char"/>
    <w:basedOn w:val="DefaultParagraphFont"/>
    <w:link w:val="CommentText"/>
    <w:uiPriority w:val="99"/>
    <w:rsid w:val="002C4D27"/>
    <w:rPr>
      <w:sz w:val="20"/>
      <w:szCs w:val="20"/>
    </w:rPr>
  </w:style>
  <w:style w:type="paragraph" w:styleId="CommentSubject">
    <w:name w:val="annotation subject"/>
    <w:basedOn w:val="CommentText"/>
    <w:next w:val="CommentText"/>
    <w:link w:val="CommentSubjectChar"/>
    <w:uiPriority w:val="99"/>
    <w:semiHidden/>
    <w:unhideWhenUsed/>
    <w:rsid w:val="002C4D27"/>
    <w:rPr>
      <w:b/>
      <w:bCs/>
    </w:rPr>
  </w:style>
  <w:style w:type="character" w:customStyle="1" w:styleId="CommentSubjectChar">
    <w:name w:val="Comment Subject Char"/>
    <w:basedOn w:val="CommentTextChar"/>
    <w:link w:val="CommentSubject"/>
    <w:uiPriority w:val="99"/>
    <w:semiHidden/>
    <w:rsid w:val="002C4D27"/>
    <w:rPr>
      <w:b/>
      <w:bCs/>
      <w:sz w:val="20"/>
      <w:szCs w:val="20"/>
    </w:rPr>
  </w:style>
  <w:style w:type="paragraph" w:styleId="z-TopofForm">
    <w:name w:val="HTML Top of Form"/>
    <w:basedOn w:val="Normal"/>
    <w:next w:val="Normal"/>
    <w:link w:val="z-TopofFormChar"/>
    <w:hidden/>
    <w:uiPriority w:val="99"/>
    <w:semiHidden/>
    <w:unhideWhenUsed/>
    <w:rsid w:val="000C6D9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C6D9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C6D9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C6D97"/>
    <w:rPr>
      <w:rFonts w:ascii="Arial" w:eastAsia="Times New Roman" w:hAnsi="Arial" w:cs="Arial"/>
      <w:vanish/>
      <w:sz w:val="16"/>
      <w:szCs w:val="16"/>
      <w:lang w:eastAsia="en-AU"/>
    </w:rPr>
  </w:style>
  <w:style w:type="paragraph" w:customStyle="1" w:styleId="Default">
    <w:name w:val="Default"/>
    <w:rsid w:val="00E23EB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842"/>
    <w:pPr>
      <w:keepNext/>
      <w:keepLines/>
      <w:spacing w:before="0" w:after="120" w:line="276" w:lineRule="auto"/>
      <w:outlineLvl w:val="9"/>
    </w:pPr>
    <w:rPr>
      <w:rFonts w:eastAsiaTheme="majorEastAsia" w:cstheme="majorBidi"/>
      <w:b/>
      <w:kern w:val="0"/>
      <w:sz w:val="28"/>
      <w:szCs w:val="32"/>
      <w:lang w:val="en-US" w:eastAsia="ja-JP"/>
    </w:rPr>
  </w:style>
  <w:style w:type="paragraph" w:styleId="TOC1">
    <w:name w:val="toc 1"/>
    <w:basedOn w:val="TOC2"/>
    <w:next w:val="Normal"/>
    <w:autoRedefine/>
    <w:uiPriority w:val="39"/>
    <w:unhideWhenUsed/>
    <w:qFormat/>
    <w:rsid w:val="003040F7"/>
    <w:pPr>
      <w:numPr>
        <w:numId w:val="0"/>
      </w:numPr>
      <w:spacing w:before="240"/>
    </w:pPr>
    <w:rPr>
      <w:b/>
    </w:rPr>
  </w:style>
  <w:style w:type="paragraph" w:styleId="TOC2">
    <w:name w:val="toc 2"/>
    <w:basedOn w:val="Normal"/>
    <w:next w:val="Normal"/>
    <w:autoRedefine/>
    <w:uiPriority w:val="39"/>
    <w:unhideWhenUsed/>
    <w:qFormat/>
    <w:rsid w:val="00672D56"/>
    <w:pPr>
      <w:numPr>
        <w:numId w:val="27"/>
      </w:numPr>
      <w:tabs>
        <w:tab w:val="right" w:leader="dot" w:pos="9214"/>
      </w:tabs>
      <w:spacing w:after="120" w:line="240" w:lineRule="auto"/>
    </w:pPr>
    <w:rPr>
      <w:noProof/>
    </w:rPr>
  </w:style>
  <w:style w:type="paragraph" w:styleId="TOC3">
    <w:name w:val="toc 3"/>
    <w:basedOn w:val="TOC2"/>
    <w:next w:val="Normal"/>
    <w:autoRedefine/>
    <w:uiPriority w:val="39"/>
    <w:unhideWhenUsed/>
    <w:qFormat/>
    <w:rsid w:val="003040F7"/>
  </w:style>
  <w:style w:type="paragraph" w:styleId="TOC4">
    <w:name w:val="toc 4"/>
    <w:basedOn w:val="Normal"/>
    <w:next w:val="Normal"/>
    <w:autoRedefine/>
    <w:uiPriority w:val="39"/>
    <w:unhideWhenUsed/>
    <w:rsid w:val="00421B67"/>
    <w:pPr>
      <w:spacing w:after="100"/>
      <w:ind w:left="660"/>
    </w:pPr>
    <w:rPr>
      <w:rFonts w:eastAsiaTheme="minorEastAsia"/>
    </w:rPr>
  </w:style>
  <w:style w:type="paragraph" w:styleId="TOC5">
    <w:name w:val="toc 5"/>
    <w:basedOn w:val="Normal"/>
    <w:next w:val="Normal"/>
    <w:autoRedefine/>
    <w:uiPriority w:val="39"/>
    <w:unhideWhenUsed/>
    <w:rsid w:val="00421B67"/>
    <w:pPr>
      <w:spacing w:after="100"/>
      <w:ind w:left="880"/>
    </w:pPr>
    <w:rPr>
      <w:rFonts w:eastAsiaTheme="minorEastAsia"/>
    </w:rPr>
  </w:style>
  <w:style w:type="paragraph" w:styleId="TOC6">
    <w:name w:val="toc 6"/>
    <w:basedOn w:val="Normal"/>
    <w:next w:val="Normal"/>
    <w:autoRedefine/>
    <w:uiPriority w:val="39"/>
    <w:unhideWhenUsed/>
    <w:rsid w:val="00421B67"/>
    <w:pPr>
      <w:spacing w:after="100"/>
      <w:ind w:left="1100"/>
    </w:pPr>
    <w:rPr>
      <w:rFonts w:eastAsiaTheme="minorEastAsia"/>
    </w:rPr>
  </w:style>
  <w:style w:type="paragraph" w:styleId="TOC7">
    <w:name w:val="toc 7"/>
    <w:basedOn w:val="Normal"/>
    <w:next w:val="Normal"/>
    <w:autoRedefine/>
    <w:uiPriority w:val="39"/>
    <w:unhideWhenUsed/>
    <w:rsid w:val="00421B67"/>
    <w:pPr>
      <w:spacing w:after="100"/>
      <w:ind w:left="1320"/>
    </w:pPr>
    <w:rPr>
      <w:rFonts w:eastAsiaTheme="minorEastAsia"/>
    </w:rPr>
  </w:style>
  <w:style w:type="paragraph" w:styleId="TOC8">
    <w:name w:val="toc 8"/>
    <w:basedOn w:val="Normal"/>
    <w:next w:val="Normal"/>
    <w:autoRedefine/>
    <w:uiPriority w:val="39"/>
    <w:unhideWhenUsed/>
    <w:rsid w:val="00421B67"/>
    <w:pPr>
      <w:spacing w:after="100"/>
      <w:ind w:left="1540"/>
    </w:pPr>
    <w:rPr>
      <w:rFonts w:eastAsiaTheme="minorEastAsia"/>
    </w:rPr>
  </w:style>
  <w:style w:type="paragraph" w:styleId="TOC9">
    <w:name w:val="toc 9"/>
    <w:basedOn w:val="Normal"/>
    <w:next w:val="Normal"/>
    <w:autoRedefine/>
    <w:uiPriority w:val="39"/>
    <w:unhideWhenUsed/>
    <w:rsid w:val="00421B67"/>
    <w:pPr>
      <w:spacing w:after="100"/>
      <w:ind w:left="1760"/>
    </w:pPr>
    <w:rPr>
      <w:rFonts w:eastAsiaTheme="minorEastAsia"/>
    </w:rPr>
  </w:style>
  <w:style w:type="paragraph" w:styleId="IntenseQuote">
    <w:name w:val="Intense Quote"/>
    <w:basedOn w:val="Normal"/>
    <w:next w:val="Normal"/>
    <w:link w:val="IntenseQuoteChar"/>
    <w:uiPriority w:val="30"/>
    <w:qFormat/>
    <w:rsid w:val="00421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1B67"/>
    <w:rPr>
      <w:b/>
      <w:bCs/>
      <w:i/>
      <w:iCs/>
      <w:color w:val="4F81BD" w:themeColor="accent1"/>
    </w:rPr>
  </w:style>
  <w:style w:type="paragraph" w:styleId="Title">
    <w:name w:val="Title"/>
    <w:basedOn w:val="Normal"/>
    <w:next w:val="Normal"/>
    <w:link w:val="TitleChar"/>
    <w:uiPriority w:val="10"/>
    <w:qFormat/>
    <w:rsid w:val="00545E1E"/>
    <w:pPr>
      <w:spacing w:before="3500" w:after="400" w:line="240" w:lineRule="auto"/>
      <w:ind w:left="1134" w:right="-427"/>
      <w:contextualSpacing/>
    </w:pPr>
    <w:rPr>
      <w:rFonts w:ascii="Trebuchet MS" w:eastAsiaTheme="majorEastAsia" w:hAnsi="Trebuchet MS" w:cstheme="majorBidi"/>
      <w:color w:val="007DBA"/>
      <w:spacing w:val="-5"/>
      <w:kern w:val="28"/>
      <w:sz w:val="70"/>
      <w:szCs w:val="70"/>
    </w:rPr>
  </w:style>
  <w:style w:type="character" w:customStyle="1" w:styleId="TitleChar">
    <w:name w:val="Title Char"/>
    <w:basedOn w:val="DefaultParagraphFont"/>
    <w:link w:val="Title"/>
    <w:uiPriority w:val="10"/>
    <w:rsid w:val="00545E1E"/>
    <w:rPr>
      <w:rFonts w:ascii="Trebuchet MS" w:eastAsiaTheme="majorEastAsia" w:hAnsi="Trebuchet MS" w:cstheme="majorBidi"/>
      <w:color w:val="007DBA"/>
      <w:spacing w:val="-5"/>
      <w:kern w:val="28"/>
      <w:sz w:val="70"/>
      <w:szCs w:val="70"/>
      <w:lang w:eastAsia="en-AU"/>
    </w:rPr>
  </w:style>
  <w:style w:type="paragraph" w:styleId="EndnoteText">
    <w:name w:val="endnote text"/>
    <w:basedOn w:val="Normal"/>
    <w:link w:val="EndnoteTextChar"/>
    <w:uiPriority w:val="99"/>
    <w:semiHidden/>
    <w:unhideWhenUsed/>
    <w:rsid w:val="000B5D36"/>
    <w:pPr>
      <w:spacing w:after="0" w:line="240" w:lineRule="auto"/>
      <w:jc w:val="both"/>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0B5D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D36"/>
    <w:rPr>
      <w:vertAlign w:val="superscript"/>
    </w:rPr>
  </w:style>
  <w:style w:type="character" w:customStyle="1" w:styleId="A4">
    <w:name w:val="A4"/>
    <w:uiPriority w:val="99"/>
    <w:rsid w:val="000B5D36"/>
    <w:rPr>
      <w:rFonts w:cs="ZMXKI U+ Helvetica Neue LT Std"/>
      <w:color w:val="000000"/>
      <w:sz w:val="16"/>
      <w:szCs w:val="16"/>
    </w:rPr>
  </w:style>
  <w:style w:type="paragraph" w:styleId="PlainText">
    <w:name w:val="Plain Text"/>
    <w:basedOn w:val="Normal"/>
    <w:link w:val="PlainTextChar"/>
    <w:uiPriority w:val="99"/>
    <w:semiHidden/>
    <w:unhideWhenUsed/>
    <w:rsid w:val="00065AF1"/>
    <w:pPr>
      <w:spacing w:after="0" w:line="240" w:lineRule="auto"/>
    </w:pPr>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65AF1"/>
    <w:rPr>
      <w:rFonts w:ascii="Calibri" w:hAnsi="Calibri"/>
      <w:szCs w:val="21"/>
    </w:rPr>
  </w:style>
  <w:style w:type="paragraph" w:customStyle="1" w:styleId="Bullets">
    <w:name w:val="Bullets"/>
    <w:basedOn w:val="NoSpacing"/>
    <w:qFormat/>
    <w:rsid w:val="0060021E"/>
    <w:pPr>
      <w:numPr>
        <w:numId w:val="1"/>
      </w:numPr>
      <w:spacing w:line="312" w:lineRule="auto"/>
    </w:pPr>
  </w:style>
  <w:style w:type="paragraph" w:customStyle="1" w:styleId="List-Ticks">
    <w:name w:val="List - Ticks"/>
    <w:basedOn w:val="ListParagraph"/>
    <w:qFormat/>
    <w:rsid w:val="00224C09"/>
    <w:pPr>
      <w:numPr>
        <w:numId w:val="3"/>
      </w:numPr>
    </w:pPr>
    <w:rPr>
      <w:lang w:eastAsia="en-US"/>
    </w:rPr>
  </w:style>
  <w:style w:type="paragraph" w:customStyle="1" w:styleId="Table-Left">
    <w:name w:val="Table - Left"/>
    <w:basedOn w:val="Normal"/>
    <w:qFormat/>
    <w:rsid w:val="006E065B"/>
    <w:pPr>
      <w:spacing w:before="120" w:after="0"/>
    </w:pPr>
  </w:style>
  <w:style w:type="paragraph" w:customStyle="1" w:styleId="Table-Header">
    <w:name w:val="Table - Header"/>
    <w:basedOn w:val="TableHeader"/>
    <w:qFormat/>
    <w:rsid w:val="007D7599"/>
    <w:rPr>
      <w:b/>
    </w:rPr>
  </w:style>
  <w:style w:type="paragraph" w:customStyle="1" w:styleId="TableHeader">
    <w:name w:val="Table: Header"/>
    <w:qFormat/>
    <w:rsid w:val="007D7599"/>
    <w:pPr>
      <w:spacing w:before="120" w:after="120" w:line="240" w:lineRule="auto"/>
    </w:pPr>
    <w:rPr>
      <w:rFonts w:ascii="Arial" w:eastAsia="Times New Roman" w:hAnsi="Arial" w:cs="Arial"/>
      <w:color w:val="005F86"/>
      <w:sz w:val="24"/>
      <w:szCs w:val="24"/>
    </w:rPr>
  </w:style>
  <w:style w:type="paragraph" w:customStyle="1" w:styleId="List-Bullets">
    <w:name w:val="List - Bullets"/>
    <w:basedOn w:val="ListParagraph"/>
    <w:qFormat/>
    <w:rsid w:val="002F041D"/>
    <w:pPr>
      <w:numPr>
        <w:numId w:val="2"/>
      </w:numPr>
      <w:spacing w:after="120"/>
    </w:pPr>
  </w:style>
  <w:style w:type="table" w:styleId="LightShading">
    <w:name w:val="Light Shading"/>
    <w:basedOn w:val="TableNormal"/>
    <w:uiPriority w:val="60"/>
    <w:rsid w:val="00D73D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2315B1"/>
    <w:rPr>
      <w:b/>
      <w:color w:val="007DBA"/>
    </w:rPr>
  </w:style>
  <w:style w:type="table" w:customStyle="1" w:styleId="BoardReady">
    <w:name w:val="Board Ready"/>
    <w:basedOn w:val="TableNormal"/>
    <w:next w:val="TableGrid"/>
    <w:uiPriority w:val="59"/>
    <w:rsid w:val="00F56CE3"/>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F56CE3"/>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BodyText">
    <w:name w:val="Body Text"/>
    <w:basedOn w:val="Normal"/>
    <w:link w:val="BodyTextChar"/>
    <w:uiPriority w:val="99"/>
    <w:unhideWhenUsed/>
    <w:rsid w:val="00A2779B"/>
    <w:rPr>
      <w:color w:val="3C3C3C"/>
    </w:rPr>
  </w:style>
  <w:style w:type="character" w:customStyle="1" w:styleId="BodyTextChar">
    <w:name w:val="Body Text Char"/>
    <w:basedOn w:val="DefaultParagraphFont"/>
    <w:link w:val="BodyText"/>
    <w:uiPriority w:val="99"/>
    <w:rsid w:val="00A2779B"/>
    <w:rPr>
      <w:rFonts w:ascii="Arial" w:hAnsi="Arial" w:cs="Arial"/>
      <w:color w:val="3C3C3C"/>
      <w:sz w:val="24"/>
      <w:szCs w:val="24"/>
      <w:lang w:eastAsia="en-AU"/>
    </w:rPr>
  </w:style>
  <w:style w:type="paragraph" w:customStyle="1" w:styleId="BodyText-nospacebelow">
    <w:name w:val="Body Text - no space below"/>
    <w:basedOn w:val="BodyText"/>
    <w:qFormat/>
    <w:rsid w:val="007C5B71"/>
    <w:pPr>
      <w:spacing w:after="0"/>
    </w:pPr>
  </w:style>
  <w:style w:type="paragraph" w:styleId="ListBullet">
    <w:name w:val="List Bullet"/>
    <w:basedOn w:val="List-Bullets"/>
    <w:uiPriority w:val="99"/>
    <w:unhideWhenUsed/>
    <w:rsid w:val="007C5B71"/>
  </w:style>
  <w:style w:type="paragraph" w:styleId="ListBullet2">
    <w:name w:val="List Bullet 2"/>
    <w:basedOn w:val="List-Bullets"/>
    <w:uiPriority w:val="99"/>
    <w:unhideWhenUsed/>
    <w:rsid w:val="007C5B71"/>
    <w:pPr>
      <w:numPr>
        <w:numId w:val="0"/>
      </w:numPr>
      <w:ind w:left="1440" w:hanging="360"/>
    </w:pPr>
  </w:style>
  <w:style w:type="paragraph" w:styleId="Caption">
    <w:name w:val="caption"/>
    <w:basedOn w:val="Normal"/>
    <w:next w:val="Normal"/>
    <w:uiPriority w:val="35"/>
    <w:unhideWhenUsed/>
    <w:qFormat/>
    <w:rsid w:val="00040C36"/>
    <w:pPr>
      <w:keepNext/>
      <w:spacing w:before="240" w:line="240" w:lineRule="auto"/>
    </w:pPr>
    <w:rPr>
      <w:b/>
      <w:bCs/>
      <w:szCs w:val="18"/>
    </w:rPr>
  </w:style>
  <w:style w:type="paragraph" w:customStyle="1" w:styleId="Dot1">
    <w:name w:val="Dot 1"/>
    <w:basedOn w:val="Normal"/>
    <w:rsid w:val="0073393A"/>
    <w:pPr>
      <w:numPr>
        <w:numId w:val="8"/>
      </w:numPr>
      <w:spacing w:before="120" w:after="0" w:line="300" w:lineRule="atLeast"/>
    </w:pPr>
    <w:rPr>
      <w:lang w:eastAsia="en-US"/>
    </w:rPr>
  </w:style>
  <w:style w:type="paragraph" w:customStyle="1" w:styleId="Dot2">
    <w:name w:val="Dot 2"/>
    <w:basedOn w:val="Normal"/>
    <w:rsid w:val="0073393A"/>
    <w:pPr>
      <w:spacing w:before="120" w:after="0" w:line="300" w:lineRule="atLeast"/>
      <w:ind w:left="993" w:hanging="360"/>
    </w:pPr>
  </w:style>
  <w:style w:type="paragraph" w:customStyle="1" w:styleId="tabletext">
    <w:name w:val="table text"/>
    <w:basedOn w:val="BodyText-nospacebelow"/>
    <w:qFormat/>
    <w:rsid w:val="00081247"/>
    <w:pPr>
      <w:spacing w:line="240" w:lineRule="auto"/>
    </w:pPr>
  </w:style>
  <w:style w:type="paragraph" w:customStyle="1" w:styleId="InsideCover-title">
    <w:name w:val="Inside Cover - title"/>
    <w:basedOn w:val="Normal"/>
    <w:qFormat/>
    <w:rsid w:val="00197E95"/>
    <w:rPr>
      <w:rFonts w:ascii="Trebuchet MS" w:hAnsi="Trebuchet MS"/>
      <w:color w:val="007DBA"/>
      <w:sz w:val="36"/>
      <w:szCs w:val="36"/>
    </w:rPr>
  </w:style>
  <w:style w:type="character" w:customStyle="1" w:styleId="Table-Header-unbold">
    <w:name w:val="Table - Header - unbold"/>
    <w:basedOn w:val="DefaultParagraphFont"/>
    <w:uiPriority w:val="1"/>
    <w:qFormat/>
    <w:rsid w:val="00197E95"/>
    <w:rPr>
      <w:sz w:val="24"/>
    </w:rPr>
  </w:style>
  <w:style w:type="table" w:customStyle="1" w:styleId="Table-DeepSea">
    <w:name w:val="Table - Deep Sea"/>
    <w:basedOn w:val="TableNormal"/>
    <w:uiPriority w:val="99"/>
    <w:rsid w:val="00884D88"/>
    <w:pPr>
      <w:spacing w:before="20" w:after="20" w:line="240" w:lineRule="auto"/>
    </w:pPr>
    <w:rPr>
      <w:rFonts w:ascii="Arial" w:hAnsi="Arial"/>
    </w:rPr>
    <w:tblPr>
      <w:tblBorders>
        <w:top w:val="single" w:sz="4" w:space="0" w:color="58585B"/>
        <w:left w:val="single" w:sz="4" w:space="0" w:color="58585B"/>
        <w:bottom w:val="single" w:sz="4" w:space="0" w:color="58585B"/>
        <w:right w:val="single" w:sz="4" w:space="0" w:color="58585B"/>
        <w:insideH w:val="single" w:sz="4" w:space="0" w:color="58585B"/>
        <w:insideV w:val="single" w:sz="4" w:space="0" w:color="58585B"/>
      </w:tblBorders>
    </w:tblPr>
    <w:tblStylePr w:type="firstRow">
      <w:rPr>
        <w:rFonts w:ascii="Arial" w:hAnsi="Arial"/>
        <w:b/>
        <w:color w:val="005F86"/>
        <w:sz w:val="22"/>
      </w:rPr>
      <w:tblPr/>
      <w:tcPr>
        <w:shd w:val="clear" w:color="auto" w:fill="E1F4FD"/>
      </w:tcPr>
    </w:tblStylePr>
  </w:style>
  <w:style w:type="paragraph" w:styleId="Date">
    <w:name w:val="Date"/>
    <w:basedOn w:val="Normal"/>
    <w:next w:val="Normal"/>
    <w:link w:val="DateChar"/>
    <w:uiPriority w:val="99"/>
    <w:unhideWhenUsed/>
    <w:rsid w:val="00CD0C16"/>
    <w:pPr>
      <w:spacing w:after="480"/>
    </w:pPr>
  </w:style>
  <w:style w:type="character" w:customStyle="1" w:styleId="DateChar">
    <w:name w:val="Date Char"/>
    <w:basedOn w:val="DefaultParagraphFont"/>
    <w:link w:val="Date"/>
    <w:uiPriority w:val="99"/>
    <w:rsid w:val="00CD0C16"/>
    <w:rPr>
      <w:rFonts w:ascii="Arial" w:hAnsi="Arial" w:cs="Arial"/>
      <w:color w:val="58585B"/>
      <w:sz w:val="24"/>
      <w:szCs w:val="24"/>
      <w:lang w:eastAsia="en-AU"/>
    </w:rPr>
  </w:style>
  <w:style w:type="paragraph" w:customStyle="1" w:styleId="Backpage">
    <w:name w:val="Back page"/>
    <w:basedOn w:val="BodyText"/>
    <w:qFormat/>
    <w:rsid w:val="00073920"/>
    <w:rPr>
      <w:rFonts w:eastAsia="Times New Roman"/>
      <w:color w:val="auto"/>
    </w:rPr>
  </w:style>
  <w:style w:type="paragraph" w:customStyle="1" w:styleId="BodyIndent-H4">
    <w:name w:val="Body Indent - H4"/>
    <w:basedOn w:val="BodyText"/>
    <w:qFormat/>
    <w:rsid w:val="007D7599"/>
    <w:pPr>
      <w:ind w:left="709"/>
    </w:pPr>
    <w:rPr>
      <w:rFonts w:eastAsia="Times New Roman" w:cs="Times New Roman"/>
      <w:lang w:eastAsia="en-US"/>
    </w:rPr>
  </w:style>
  <w:style w:type="paragraph" w:customStyle="1" w:styleId="TableRowLeft">
    <w:name w:val="Table Row: Left"/>
    <w:qFormat/>
    <w:rsid w:val="007D7599"/>
    <w:pPr>
      <w:spacing w:before="120" w:after="120" w:line="240" w:lineRule="auto"/>
    </w:pPr>
    <w:rPr>
      <w:rFonts w:ascii="Arial" w:eastAsia="Times New Roman" w:hAnsi="Arial" w:cs="Arial"/>
      <w:color w:val="58585B"/>
      <w:sz w:val="24"/>
      <w:szCs w:val="24"/>
    </w:rPr>
  </w:style>
  <w:style w:type="paragraph" w:styleId="BodyText2">
    <w:name w:val="Body Text 2"/>
    <w:basedOn w:val="Normal"/>
    <w:link w:val="BodyText2Char"/>
    <w:uiPriority w:val="99"/>
    <w:unhideWhenUsed/>
    <w:rsid w:val="00FB44AE"/>
    <w:pPr>
      <w:spacing w:after="120" w:line="480" w:lineRule="auto"/>
    </w:pPr>
  </w:style>
  <w:style w:type="character" w:customStyle="1" w:styleId="BodyText2Char">
    <w:name w:val="Body Text 2 Char"/>
    <w:basedOn w:val="DefaultParagraphFont"/>
    <w:link w:val="BodyText2"/>
    <w:uiPriority w:val="99"/>
    <w:rsid w:val="00FB44AE"/>
    <w:rPr>
      <w:rFonts w:ascii="Arial" w:hAnsi="Arial" w:cs="Arial"/>
      <w:color w:val="58585B"/>
      <w:sz w:val="24"/>
      <w:szCs w:val="24"/>
      <w:lang w:eastAsia="en-AU"/>
    </w:rPr>
  </w:style>
  <w:style w:type="paragraph" w:styleId="BodyTextFirstIndent">
    <w:name w:val="Body Text First Indent"/>
    <w:basedOn w:val="BodyText"/>
    <w:link w:val="BodyTextFirstIndentChar"/>
    <w:uiPriority w:val="99"/>
    <w:unhideWhenUsed/>
    <w:rsid w:val="009C0FF5"/>
    <w:pPr>
      <w:ind w:firstLine="360"/>
    </w:pPr>
  </w:style>
  <w:style w:type="character" w:customStyle="1" w:styleId="BodyTextFirstIndentChar">
    <w:name w:val="Body Text First Indent Char"/>
    <w:basedOn w:val="BodyTextChar"/>
    <w:link w:val="BodyTextFirstIndent"/>
    <w:uiPriority w:val="99"/>
    <w:rsid w:val="009C0FF5"/>
    <w:rPr>
      <w:rFonts w:ascii="Arial" w:hAnsi="Arial" w:cs="Arial"/>
      <w:color w:val="3C3C3C"/>
      <w:sz w:val="24"/>
      <w:szCs w:val="24"/>
      <w:lang w:eastAsia="en-AU"/>
    </w:rPr>
  </w:style>
  <w:style w:type="table" w:customStyle="1" w:styleId="TableGrey">
    <w:name w:val="Table Grey"/>
    <w:basedOn w:val="TableNormal"/>
    <w:uiPriority w:val="99"/>
    <w:rsid w:val="009C0FF5"/>
    <w:pPr>
      <w:spacing w:after="0" w:line="240" w:lineRule="auto"/>
    </w:pPr>
    <w:rPr>
      <w:rFonts w:ascii="Arial Narrow" w:eastAsia="Times New Roman" w:hAnsi="Arial Narrow" w:cs="Times New Roman"/>
      <w:sz w:val="24"/>
      <w:szCs w:val="20"/>
      <w:lang w:eastAsia="en-AU"/>
    </w:rPr>
    <w:tblPr/>
    <w:tcPr>
      <w:shd w:val="clear" w:color="auto" w:fill="auto"/>
    </w:tcPr>
    <w:tblStylePr w:type="firstRow">
      <w:rPr>
        <w:rFonts w:ascii="ZMXKI U+ Helvetica Neue LT Std" w:hAnsi="ZMXKI U+ Helvetica Neue LT Std"/>
        <w:b/>
        <w:sz w:val="24"/>
      </w:rPr>
      <w:tblPr/>
      <w:tcPr>
        <w:tcBorders>
          <w:top w:val="nil"/>
          <w:left w:val="nil"/>
          <w:bottom w:val="nil"/>
          <w:right w:val="nil"/>
          <w:insideH w:val="nil"/>
          <w:insideV w:val="nil"/>
        </w:tcBorders>
        <w:shd w:val="clear" w:color="auto" w:fill="F2F2F2" w:themeFill="background1" w:themeFillShade="F2"/>
      </w:tcPr>
    </w:tblStylePr>
    <w:tblStylePr w:type="firstCol">
      <w:rPr>
        <w:rFonts w:ascii="ZMXKI U+ Helvetica Neue LT Std" w:hAnsi="ZMXKI U+ Helvetica Neue LT Std"/>
        <w:color w:val="215868" w:themeColor="accent5" w:themeShade="80"/>
        <w:sz w:val="24"/>
      </w:rPr>
    </w:tblStylePr>
  </w:style>
  <w:style w:type="paragraph" w:customStyle="1" w:styleId="TableGreywholeTable">
    <w:name w:val="Table Grey (whole Table)"/>
    <w:basedOn w:val="Normal"/>
    <w:qFormat/>
    <w:rsid w:val="009C0FF5"/>
    <w:pPr>
      <w:spacing w:before="60" w:after="60" w:line="240" w:lineRule="auto"/>
      <w:ind w:right="227"/>
      <w:jc w:val="center"/>
    </w:pPr>
    <w:rPr>
      <w:rFonts w:ascii="Arial Narrow" w:eastAsia="Times New Roman" w:hAnsi="Arial Narrow" w:cs="Times New Roman"/>
      <w:b/>
      <w:color w:val="0D0D0D" w:themeColor="text1" w:themeTint="F2"/>
      <w:szCs w:val="20"/>
    </w:rPr>
  </w:style>
  <w:style w:type="paragraph" w:customStyle="1" w:styleId="List-BulletDLGC">
    <w:name w:val="List - Bullet DLGC"/>
    <w:basedOn w:val="BodyText"/>
    <w:qFormat/>
    <w:rsid w:val="009C0FF5"/>
    <w:pPr>
      <w:spacing w:after="120"/>
      <w:ind w:left="720" w:right="227" w:hanging="360"/>
    </w:pPr>
    <w:rPr>
      <w:rFonts w:eastAsia="Times New Roman"/>
      <w:color w:val="0D0D0D" w:themeColor="text1" w:themeTint="F2"/>
      <w:szCs w:val="20"/>
      <w:lang w:eastAsia="en-US"/>
    </w:rPr>
  </w:style>
  <w:style w:type="paragraph" w:customStyle="1" w:styleId="List-BulletDLGClast">
    <w:name w:val="List - Bullet DLGC last"/>
    <w:basedOn w:val="BodyText"/>
    <w:qFormat/>
    <w:rsid w:val="009C0FF5"/>
    <w:pPr>
      <w:numPr>
        <w:numId w:val="29"/>
      </w:numPr>
      <w:ind w:right="227"/>
    </w:pPr>
    <w:rPr>
      <w:rFonts w:eastAsia="Times New Roman"/>
      <w:color w:val="0D0D0D" w:themeColor="text1" w:themeTint="F2"/>
      <w:szCs w:val="20"/>
      <w:lang w:eastAsia="en-US"/>
    </w:rPr>
  </w:style>
  <w:style w:type="paragraph" w:customStyle="1" w:styleId="ListBulletDLGC-leadinpara">
    <w:name w:val="List Bullet DLGC - lead in para"/>
    <w:basedOn w:val="BodyText"/>
    <w:qFormat/>
    <w:rsid w:val="009C0FF5"/>
    <w:pPr>
      <w:spacing w:after="120"/>
      <w:ind w:right="227"/>
    </w:pPr>
    <w:rPr>
      <w:rFonts w:eastAsia="Times New Roman"/>
      <w:color w:val="0D0D0D" w:themeColor="text1" w:themeTint="F2"/>
      <w:szCs w:val="20"/>
      <w:lang w:eastAsia="en-US"/>
    </w:rPr>
  </w:style>
  <w:style w:type="paragraph" w:styleId="Subtitle">
    <w:name w:val="Subtitle"/>
    <w:basedOn w:val="Title"/>
    <w:next w:val="Normal"/>
    <w:link w:val="SubtitleChar"/>
    <w:uiPriority w:val="11"/>
    <w:qFormat/>
    <w:rsid w:val="0064441A"/>
    <w:pPr>
      <w:spacing w:before="3520"/>
      <w:ind w:right="-425"/>
    </w:pPr>
    <w:rPr>
      <w:color w:val="965014"/>
      <w:sz w:val="44"/>
    </w:rPr>
  </w:style>
  <w:style w:type="character" w:customStyle="1" w:styleId="SubtitleChar">
    <w:name w:val="Subtitle Char"/>
    <w:basedOn w:val="DefaultParagraphFont"/>
    <w:link w:val="Subtitle"/>
    <w:uiPriority w:val="11"/>
    <w:rsid w:val="0064441A"/>
    <w:rPr>
      <w:rFonts w:ascii="Trebuchet MS" w:eastAsiaTheme="majorEastAsia" w:hAnsi="Trebuchet MS" w:cstheme="majorBidi"/>
      <w:color w:val="965014"/>
      <w:spacing w:val="-5"/>
      <w:kern w:val="28"/>
      <w:sz w:val="44"/>
      <w:szCs w:val="70"/>
      <w:lang w:eastAsia="en-AU"/>
    </w:rPr>
  </w:style>
  <w:style w:type="paragraph" w:styleId="HTMLAddress">
    <w:name w:val="HTML Address"/>
    <w:basedOn w:val="Normal"/>
    <w:link w:val="HTMLAddressChar"/>
    <w:uiPriority w:val="99"/>
    <w:unhideWhenUsed/>
    <w:rsid w:val="009C0FF5"/>
    <w:pPr>
      <w:widowControl w:val="0"/>
      <w:autoSpaceDE w:val="0"/>
      <w:autoSpaceDN w:val="0"/>
      <w:adjustRightInd w:val="0"/>
      <w:spacing w:after="0" w:line="240" w:lineRule="auto"/>
      <w:ind w:left="119" w:right="187"/>
    </w:pPr>
    <w:rPr>
      <w:rFonts w:eastAsia="Times New Roman"/>
      <w:i/>
      <w:iCs/>
      <w:color w:val="323031"/>
    </w:rPr>
  </w:style>
  <w:style w:type="character" w:customStyle="1" w:styleId="HTMLAddressChar">
    <w:name w:val="HTML Address Char"/>
    <w:basedOn w:val="DefaultParagraphFont"/>
    <w:link w:val="HTMLAddress"/>
    <w:uiPriority w:val="99"/>
    <w:rsid w:val="009C0FF5"/>
    <w:rPr>
      <w:rFonts w:ascii="Arial" w:eastAsia="Times New Roman" w:hAnsi="Arial" w:cs="Arial"/>
      <w:i/>
      <w:iCs/>
      <w:color w:val="323031"/>
      <w:sz w:val="24"/>
      <w:szCs w:val="24"/>
      <w:lang w:eastAsia="en-AU"/>
    </w:rPr>
  </w:style>
  <w:style w:type="paragraph" w:styleId="Salutation">
    <w:name w:val="Salutation"/>
    <w:basedOn w:val="Normal"/>
    <w:next w:val="Normal"/>
    <w:link w:val="SalutationChar"/>
    <w:uiPriority w:val="99"/>
    <w:unhideWhenUsed/>
    <w:rsid w:val="009C0FF5"/>
    <w:pPr>
      <w:widowControl w:val="0"/>
      <w:autoSpaceDE w:val="0"/>
      <w:autoSpaceDN w:val="0"/>
      <w:adjustRightInd w:val="0"/>
      <w:spacing w:after="0" w:line="240" w:lineRule="auto"/>
      <w:ind w:left="119" w:right="187"/>
    </w:pPr>
    <w:rPr>
      <w:rFonts w:eastAsia="Times New Roman"/>
      <w:color w:val="323031"/>
    </w:rPr>
  </w:style>
  <w:style w:type="character" w:customStyle="1" w:styleId="SalutationChar">
    <w:name w:val="Salutation Char"/>
    <w:basedOn w:val="DefaultParagraphFont"/>
    <w:link w:val="Salutation"/>
    <w:uiPriority w:val="99"/>
    <w:rsid w:val="009C0FF5"/>
    <w:rPr>
      <w:rFonts w:ascii="Arial" w:eastAsia="Times New Roman" w:hAnsi="Arial" w:cs="Arial"/>
      <w:color w:val="323031"/>
      <w:sz w:val="24"/>
      <w:szCs w:val="24"/>
      <w:lang w:eastAsia="en-AU"/>
    </w:rPr>
  </w:style>
  <w:style w:type="paragraph" w:styleId="TableofFigures">
    <w:name w:val="table of figures"/>
    <w:basedOn w:val="Normal"/>
    <w:next w:val="Normal"/>
    <w:uiPriority w:val="99"/>
    <w:unhideWhenUsed/>
    <w:rsid w:val="009C0FF5"/>
    <w:pPr>
      <w:widowControl w:val="0"/>
      <w:autoSpaceDE w:val="0"/>
      <w:autoSpaceDN w:val="0"/>
      <w:adjustRightInd w:val="0"/>
      <w:spacing w:after="0" w:line="240" w:lineRule="auto"/>
      <w:ind w:right="187"/>
    </w:pPr>
    <w:rPr>
      <w:rFonts w:eastAsia="Times New Roman"/>
      <w:color w:val="323031"/>
    </w:rPr>
  </w:style>
  <w:style w:type="paragraph" w:customStyle="1" w:styleId="xl68">
    <w:name w:val="xl68"/>
    <w:basedOn w:val="Normal"/>
    <w:rsid w:val="009C0FF5"/>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69">
    <w:name w:val="xl69"/>
    <w:basedOn w:val="Normal"/>
    <w:rsid w:val="009C0F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0">
    <w:name w:val="xl70"/>
    <w:basedOn w:val="Normal"/>
    <w:rsid w:val="009C0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1">
    <w:name w:val="xl71"/>
    <w:basedOn w:val="Normal"/>
    <w:rsid w:val="009C0FF5"/>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72">
    <w:name w:val="xl72"/>
    <w:basedOn w:val="Normal"/>
    <w:rsid w:val="009C0F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3">
    <w:name w:val="xl73"/>
    <w:basedOn w:val="Normal"/>
    <w:rsid w:val="009C0FF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4">
    <w:name w:val="xl74"/>
    <w:basedOn w:val="Normal"/>
    <w:rsid w:val="009C0FF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auto"/>
      <w:sz w:val="20"/>
      <w:szCs w:val="20"/>
      <w:lang w:val="en-GB" w:eastAsia="en-GB"/>
    </w:rPr>
  </w:style>
  <w:style w:type="paragraph" w:customStyle="1" w:styleId="xl75">
    <w:name w:val="xl75"/>
    <w:basedOn w:val="Normal"/>
    <w:rsid w:val="009C0F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b/>
      <w:bCs/>
      <w:color w:val="auto"/>
      <w:sz w:val="16"/>
      <w:szCs w:val="16"/>
      <w:lang w:val="en-GB" w:eastAsia="en-GB"/>
    </w:rPr>
  </w:style>
  <w:style w:type="paragraph" w:customStyle="1" w:styleId="xl76">
    <w:name w:val="xl76"/>
    <w:basedOn w:val="Normal"/>
    <w:rsid w:val="009C0FF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auto"/>
      <w:sz w:val="16"/>
      <w:szCs w:val="16"/>
      <w:lang w:val="en-GB" w:eastAsia="en-GB"/>
    </w:rPr>
  </w:style>
  <w:style w:type="paragraph" w:customStyle="1" w:styleId="xl77">
    <w:name w:val="xl77"/>
    <w:basedOn w:val="Normal"/>
    <w:rsid w:val="009C0F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en-GB" w:eastAsia="en-GB"/>
    </w:rPr>
  </w:style>
  <w:style w:type="paragraph" w:customStyle="1" w:styleId="xl78">
    <w:name w:val="xl78"/>
    <w:basedOn w:val="Normal"/>
    <w:rsid w:val="009C0FF5"/>
    <w:pP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9">
    <w:name w:val="xl79"/>
    <w:basedOn w:val="Normal"/>
    <w:rsid w:val="009C0FF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80">
    <w:name w:val="xl80"/>
    <w:basedOn w:val="Normal"/>
    <w:rsid w:val="009C0F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81">
    <w:name w:val="xl81"/>
    <w:basedOn w:val="Normal"/>
    <w:rsid w:val="009C0F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en-GB" w:eastAsia="en-GB"/>
    </w:rPr>
  </w:style>
  <w:style w:type="paragraph" w:customStyle="1" w:styleId="xl82">
    <w:name w:val="xl82"/>
    <w:basedOn w:val="Normal"/>
    <w:rsid w:val="009C0F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en-GB" w:eastAsia="en-GB"/>
    </w:rPr>
  </w:style>
  <w:style w:type="paragraph" w:customStyle="1" w:styleId="xl83">
    <w:name w:val="xl83"/>
    <w:basedOn w:val="Normal"/>
    <w:rsid w:val="009C0F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en-GB" w:eastAsia="en-GB"/>
    </w:rPr>
  </w:style>
  <w:style w:type="paragraph" w:customStyle="1" w:styleId="xl67">
    <w:name w:val="xl67"/>
    <w:basedOn w:val="Normal"/>
    <w:rsid w:val="004C17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4">
    <w:name w:val="xl84"/>
    <w:basedOn w:val="Normal"/>
    <w:rsid w:val="004C17F4"/>
    <w:pPr>
      <w:spacing w:before="100" w:beforeAutospacing="1" w:after="100" w:afterAutospacing="1" w:line="240" w:lineRule="auto"/>
    </w:pPr>
    <w:rPr>
      <w:rFonts w:ascii="Times New Roman" w:eastAsia="Times New Roman" w:hAnsi="Times New Roman" w:cs="Times New Roman"/>
      <w:b/>
      <w:bCs/>
      <w:color w:val="auto"/>
    </w:rPr>
  </w:style>
  <w:style w:type="paragraph" w:customStyle="1" w:styleId="xl85">
    <w:name w:val="xl85"/>
    <w:basedOn w:val="Normal"/>
    <w:rsid w:val="004C17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auto"/>
    </w:rPr>
  </w:style>
  <w:style w:type="paragraph" w:customStyle="1" w:styleId="xl86">
    <w:name w:val="xl86"/>
    <w:basedOn w:val="Normal"/>
    <w:rsid w:val="004C17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color w:val="auto"/>
    </w:rPr>
  </w:style>
  <w:style w:type="paragraph" w:customStyle="1" w:styleId="xl87">
    <w:name w:val="xl87"/>
    <w:basedOn w:val="Normal"/>
    <w:rsid w:val="004C17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b/>
      <w:bCs/>
      <w:color w:val="auto"/>
    </w:rPr>
  </w:style>
  <w:style w:type="table" w:styleId="MediumShading2-Accent1">
    <w:name w:val="Medium Shading 2 Accent 1"/>
    <w:basedOn w:val="TableNormal"/>
    <w:uiPriority w:val="64"/>
    <w:rsid w:val="004C1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4C1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4C1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2">
    <w:name w:val="Light Shading Accent 2"/>
    <w:basedOn w:val="TableNormal"/>
    <w:uiPriority w:val="60"/>
    <w:rsid w:val="00E72C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72C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E72C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1">
    <w:name w:val="Plain Table 1"/>
    <w:basedOn w:val="TableNormal"/>
    <w:uiPriority w:val="41"/>
    <w:rsid w:val="00024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025">
      <w:bodyDiv w:val="1"/>
      <w:marLeft w:val="0"/>
      <w:marRight w:val="0"/>
      <w:marTop w:val="0"/>
      <w:marBottom w:val="0"/>
      <w:divBdr>
        <w:top w:val="none" w:sz="0" w:space="0" w:color="auto"/>
        <w:left w:val="none" w:sz="0" w:space="0" w:color="auto"/>
        <w:bottom w:val="none" w:sz="0" w:space="0" w:color="auto"/>
        <w:right w:val="none" w:sz="0" w:space="0" w:color="auto"/>
      </w:divBdr>
    </w:div>
    <w:div w:id="250553700">
      <w:bodyDiv w:val="1"/>
      <w:marLeft w:val="0"/>
      <w:marRight w:val="0"/>
      <w:marTop w:val="0"/>
      <w:marBottom w:val="0"/>
      <w:divBdr>
        <w:top w:val="none" w:sz="0" w:space="0" w:color="auto"/>
        <w:left w:val="none" w:sz="0" w:space="0" w:color="auto"/>
        <w:bottom w:val="none" w:sz="0" w:space="0" w:color="auto"/>
        <w:right w:val="none" w:sz="0" w:space="0" w:color="auto"/>
      </w:divBdr>
    </w:div>
    <w:div w:id="263806829">
      <w:bodyDiv w:val="1"/>
      <w:marLeft w:val="0"/>
      <w:marRight w:val="0"/>
      <w:marTop w:val="0"/>
      <w:marBottom w:val="0"/>
      <w:divBdr>
        <w:top w:val="none" w:sz="0" w:space="0" w:color="auto"/>
        <w:left w:val="none" w:sz="0" w:space="0" w:color="auto"/>
        <w:bottom w:val="none" w:sz="0" w:space="0" w:color="auto"/>
        <w:right w:val="none" w:sz="0" w:space="0" w:color="auto"/>
      </w:divBdr>
      <w:divsChild>
        <w:div w:id="814952208">
          <w:marLeft w:val="0"/>
          <w:marRight w:val="0"/>
          <w:marTop w:val="0"/>
          <w:marBottom w:val="0"/>
          <w:divBdr>
            <w:top w:val="none" w:sz="0" w:space="0" w:color="auto"/>
            <w:left w:val="none" w:sz="0" w:space="0" w:color="auto"/>
            <w:bottom w:val="none" w:sz="0" w:space="0" w:color="auto"/>
            <w:right w:val="none" w:sz="0" w:space="0" w:color="auto"/>
          </w:divBdr>
          <w:divsChild>
            <w:div w:id="797991417">
              <w:marLeft w:val="0"/>
              <w:marRight w:val="0"/>
              <w:marTop w:val="0"/>
              <w:marBottom w:val="0"/>
              <w:divBdr>
                <w:top w:val="none" w:sz="0" w:space="0" w:color="auto"/>
                <w:left w:val="none" w:sz="0" w:space="0" w:color="auto"/>
                <w:bottom w:val="none" w:sz="0" w:space="0" w:color="auto"/>
                <w:right w:val="none" w:sz="0" w:space="0" w:color="auto"/>
              </w:divBdr>
            </w:div>
          </w:divsChild>
        </w:div>
        <w:div w:id="1562446555">
          <w:marLeft w:val="0"/>
          <w:marRight w:val="0"/>
          <w:marTop w:val="0"/>
          <w:marBottom w:val="0"/>
          <w:divBdr>
            <w:top w:val="none" w:sz="0" w:space="0" w:color="auto"/>
            <w:left w:val="none" w:sz="0" w:space="0" w:color="auto"/>
            <w:bottom w:val="none" w:sz="0" w:space="0" w:color="auto"/>
            <w:right w:val="none" w:sz="0" w:space="0" w:color="auto"/>
          </w:divBdr>
        </w:div>
      </w:divsChild>
    </w:div>
    <w:div w:id="282426926">
      <w:bodyDiv w:val="1"/>
      <w:marLeft w:val="0"/>
      <w:marRight w:val="0"/>
      <w:marTop w:val="0"/>
      <w:marBottom w:val="0"/>
      <w:divBdr>
        <w:top w:val="none" w:sz="0" w:space="0" w:color="auto"/>
        <w:left w:val="none" w:sz="0" w:space="0" w:color="auto"/>
        <w:bottom w:val="none" w:sz="0" w:space="0" w:color="auto"/>
        <w:right w:val="none" w:sz="0" w:space="0" w:color="auto"/>
      </w:divBdr>
      <w:divsChild>
        <w:div w:id="1333339963">
          <w:marLeft w:val="0"/>
          <w:marRight w:val="0"/>
          <w:marTop w:val="0"/>
          <w:marBottom w:val="0"/>
          <w:divBdr>
            <w:top w:val="none" w:sz="0" w:space="0" w:color="auto"/>
            <w:left w:val="none" w:sz="0" w:space="0" w:color="auto"/>
            <w:bottom w:val="none" w:sz="0" w:space="0" w:color="auto"/>
            <w:right w:val="none" w:sz="0" w:space="0" w:color="auto"/>
          </w:divBdr>
          <w:divsChild>
            <w:div w:id="1004435793">
              <w:marLeft w:val="0"/>
              <w:marRight w:val="0"/>
              <w:marTop w:val="0"/>
              <w:marBottom w:val="0"/>
              <w:divBdr>
                <w:top w:val="none" w:sz="0" w:space="0" w:color="auto"/>
                <w:left w:val="none" w:sz="0" w:space="0" w:color="auto"/>
                <w:bottom w:val="none" w:sz="0" w:space="0" w:color="auto"/>
                <w:right w:val="none" w:sz="0" w:space="0" w:color="auto"/>
              </w:divBdr>
              <w:divsChild>
                <w:div w:id="36439555">
                  <w:marLeft w:val="0"/>
                  <w:marRight w:val="0"/>
                  <w:marTop w:val="0"/>
                  <w:marBottom w:val="0"/>
                  <w:divBdr>
                    <w:top w:val="none" w:sz="0" w:space="0" w:color="auto"/>
                    <w:left w:val="none" w:sz="0" w:space="0" w:color="auto"/>
                    <w:bottom w:val="none" w:sz="0" w:space="0" w:color="auto"/>
                    <w:right w:val="none" w:sz="0" w:space="0" w:color="auto"/>
                  </w:divBdr>
                  <w:divsChild>
                    <w:div w:id="1397566">
                      <w:marLeft w:val="0"/>
                      <w:marRight w:val="0"/>
                      <w:marTop w:val="0"/>
                      <w:marBottom w:val="0"/>
                      <w:divBdr>
                        <w:top w:val="none" w:sz="0" w:space="0" w:color="auto"/>
                        <w:left w:val="none" w:sz="0" w:space="0" w:color="auto"/>
                        <w:bottom w:val="none" w:sz="0" w:space="0" w:color="auto"/>
                        <w:right w:val="none" w:sz="0" w:space="0" w:color="auto"/>
                      </w:divBdr>
                      <w:divsChild>
                        <w:div w:id="1326788061">
                          <w:marLeft w:val="0"/>
                          <w:marRight w:val="0"/>
                          <w:marTop w:val="0"/>
                          <w:marBottom w:val="0"/>
                          <w:divBdr>
                            <w:top w:val="none" w:sz="0" w:space="0" w:color="auto"/>
                            <w:left w:val="none" w:sz="0" w:space="0" w:color="auto"/>
                            <w:bottom w:val="none" w:sz="0" w:space="0" w:color="auto"/>
                            <w:right w:val="none" w:sz="0" w:space="0" w:color="auto"/>
                          </w:divBdr>
                          <w:divsChild>
                            <w:div w:id="10759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42456">
      <w:bodyDiv w:val="1"/>
      <w:marLeft w:val="0"/>
      <w:marRight w:val="0"/>
      <w:marTop w:val="0"/>
      <w:marBottom w:val="0"/>
      <w:divBdr>
        <w:top w:val="none" w:sz="0" w:space="0" w:color="auto"/>
        <w:left w:val="none" w:sz="0" w:space="0" w:color="auto"/>
        <w:bottom w:val="none" w:sz="0" w:space="0" w:color="auto"/>
        <w:right w:val="none" w:sz="0" w:space="0" w:color="auto"/>
      </w:divBdr>
    </w:div>
    <w:div w:id="363794817">
      <w:bodyDiv w:val="1"/>
      <w:marLeft w:val="0"/>
      <w:marRight w:val="0"/>
      <w:marTop w:val="0"/>
      <w:marBottom w:val="0"/>
      <w:divBdr>
        <w:top w:val="none" w:sz="0" w:space="0" w:color="auto"/>
        <w:left w:val="none" w:sz="0" w:space="0" w:color="auto"/>
        <w:bottom w:val="none" w:sz="0" w:space="0" w:color="auto"/>
        <w:right w:val="none" w:sz="0" w:space="0" w:color="auto"/>
      </w:divBdr>
      <w:divsChild>
        <w:div w:id="1041898402">
          <w:marLeft w:val="0"/>
          <w:marRight w:val="0"/>
          <w:marTop w:val="0"/>
          <w:marBottom w:val="0"/>
          <w:divBdr>
            <w:top w:val="none" w:sz="0" w:space="0" w:color="auto"/>
            <w:left w:val="none" w:sz="0" w:space="0" w:color="auto"/>
            <w:bottom w:val="none" w:sz="0" w:space="0" w:color="auto"/>
            <w:right w:val="none" w:sz="0" w:space="0" w:color="auto"/>
          </w:divBdr>
        </w:div>
        <w:div w:id="1722706234">
          <w:marLeft w:val="0"/>
          <w:marRight w:val="0"/>
          <w:marTop w:val="0"/>
          <w:marBottom w:val="0"/>
          <w:divBdr>
            <w:top w:val="none" w:sz="0" w:space="0" w:color="auto"/>
            <w:left w:val="none" w:sz="0" w:space="0" w:color="auto"/>
            <w:bottom w:val="none" w:sz="0" w:space="0" w:color="auto"/>
            <w:right w:val="none" w:sz="0" w:space="0" w:color="auto"/>
          </w:divBdr>
        </w:div>
      </w:divsChild>
    </w:div>
    <w:div w:id="378169257">
      <w:bodyDiv w:val="1"/>
      <w:marLeft w:val="0"/>
      <w:marRight w:val="0"/>
      <w:marTop w:val="0"/>
      <w:marBottom w:val="0"/>
      <w:divBdr>
        <w:top w:val="none" w:sz="0" w:space="0" w:color="auto"/>
        <w:left w:val="none" w:sz="0" w:space="0" w:color="auto"/>
        <w:bottom w:val="none" w:sz="0" w:space="0" w:color="auto"/>
        <w:right w:val="none" w:sz="0" w:space="0" w:color="auto"/>
      </w:divBdr>
      <w:divsChild>
        <w:div w:id="1405643380">
          <w:marLeft w:val="0"/>
          <w:marRight w:val="0"/>
          <w:marTop w:val="0"/>
          <w:marBottom w:val="0"/>
          <w:divBdr>
            <w:top w:val="none" w:sz="0" w:space="0" w:color="auto"/>
            <w:left w:val="none" w:sz="0" w:space="0" w:color="auto"/>
            <w:bottom w:val="none" w:sz="0" w:space="0" w:color="auto"/>
            <w:right w:val="none" w:sz="0" w:space="0" w:color="auto"/>
          </w:divBdr>
          <w:divsChild>
            <w:div w:id="1813865685">
              <w:marLeft w:val="0"/>
              <w:marRight w:val="0"/>
              <w:marTop w:val="0"/>
              <w:marBottom w:val="0"/>
              <w:divBdr>
                <w:top w:val="none" w:sz="0" w:space="0" w:color="auto"/>
                <w:left w:val="none" w:sz="0" w:space="0" w:color="auto"/>
                <w:bottom w:val="none" w:sz="0" w:space="0" w:color="auto"/>
                <w:right w:val="none" w:sz="0" w:space="0" w:color="auto"/>
              </w:divBdr>
              <w:divsChild>
                <w:div w:id="204297288">
                  <w:marLeft w:val="0"/>
                  <w:marRight w:val="0"/>
                  <w:marTop w:val="0"/>
                  <w:marBottom w:val="0"/>
                  <w:divBdr>
                    <w:top w:val="none" w:sz="0" w:space="0" w:color="auto"/>
                    <w:left w:val="none" w:sz="0" w:space="0" w:color="auto"/>
                    <w:bottom w:val="none" w:sz="0" w:space="0" w:color="auto"/>
                    <w:right w:val="none" w:sz="0" w:space="0" w:color="auto"/>
                  </w:divBdr>
                  <w:divsChild>
                    <w:div w:id="1485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1453">
      <w:bodyDiv w:val="1"/>
      <w:marLeft w:val="0"/>
      <w:marRight w:val="0"/>
      <w:marTop w:val="0"/>
      <w:marBottom w:val="0"/>
      <w:divBdr>
        <w:top w:val="none" w:sz="0" w:space="0" w:color="auto"/>
        <w:left w:val="none" w:sz="0" w:space="0" w:color="auto"/>
        <w:bottom w:val="none" w:sz="0" w:space="0" w:color="auto"/>
        <w:right w:val="none" w:sz="0" w:space="0" w:color="auto"/>
      </w:divBdr>
      <w:divsChild>
        <w:div w:id="1395658520">
          <w:marLeft w:val="0"/>
          <w:marRight w:val="0"/>
          <w:marTop w:val="0"/>
          <w:marBottom w:val="0"/>
          <w:divBdr>
            <w:top w:val="none" w:sz="0" w:space="0" w:color="auto"/>
            <w:left w:val="none" w:sz="0" w:space="0" w:color="auto"/>
            <w:bottom w:val="none" w:sz="0" w:space="0" w:color="auto"/>
            <w:right w:val="none" w:sz="0" w:space="0" w:color="auto"/>
          </w:divBdr>
          <w:divsChild>
            <w:div w:id="734668571">
              <w:marLeft w:val="0"/>
              <w:marRight w:val="0"/>
              <w:marTop w:val="0"/>
              <w:marBottom w:val="0"/>
              <w:divBdr>
                <w:top w:val="none" w:sz="0" w:space="0" w:color="auto"/>
                <w:left w:val="none" w:sz="0" w:space="0" w:color="auto"/>
                <w:bottom w:val="none" w:sz="0" w:space="0" w:color="auto"/>
                <w:right w:val="none" w:sz="0" w:space="0" w:color="auto"/>
              </w:divBdr>
              <w:divsChild>
                <w:div w:id="992029980">
                  <w:marLeft w:val="0"/>
                  <w:marRight w:val="0"/>
                  <w:marTop w:val="0"/>
                  <w:marBottom w:val="0"/>
                  <w:divBdr>
                    <w:top w:val="none" w:sz="0" w:space="0" w:color="auto"/>
                    <w:left w:val="none" w:sz="0" w:space="0" w:color="auto"/>
                    <w:bottom w:val="none" w:sz="0" w:space="0" w:color="auto"/>
                    <w:right w:val="none" w:sz="0" w:space="0" w:color="auto"/>
                  </w:divBdr>
                  <w:divsChild>
                    <w:div w:id="832918211">
                      <w:marLeft w:val="0"/>
                      <w:marRight w:val="0"/>
                      <w:marTop w:val="0"/>
                      <w:marBottom w:val="0"/>
                      <w:divBdr>
                        <w:top w:val="none" w:sz="0" w:space="0" w:color="auto"/>
                        <w:left w:val="none" w:sz="0" w:space="0" w:color="auto"/>
                        <w:bottom w:val="none" w:sz="0" w:space="0" w:color="auto"/>
                        <w:right w:val="none" w:sz="0" w:space="0" w:color="auto"/>
                      </w:divBdr>
                      <w:divsChild>
                        <w:div w:id="1818037527">
                          <w:marLeft w:val="0"/>
                          <w:marRight w:val="0"/>
                          <w:marTop w:val="0"/>
                          <w:marBottom w:val="0"/>
                          <w:divBdr>
                            <w:top w:val="none" w:sz="0" w:space="0" w:color="auto"/>
                            <w:left w:val="none" w:sz="0" w:space="0" w:color="auto"/>
                            <w:bottom w:val="none" w:sz="0" w:space="0" w:color="auto"/>
                            <w:right w:val="none" w:sz="0" w:space="0" w:color="auto"/>
                          </w:divBdr>
                        </w:div>
                      </w:divsChild>
                    </w:div>
                    <w:div w:id="883833963">
                      <w:marLeft w:val="0"/>
                      <w:marRight w:val="0"/>
                      <w:marTop w:val="0"/>
                      <w:marBottom w:val="0"/>
                      <w:divBdr>
                        <w:top w:val="none" w:sz="0" w:space="0" w:color="auto"/>
                        <w:left w:val="none" w:sz="0" w:space="0" w:color="auto"/>
                        <w:bottom w:val="none" w:sz="0" w:space="0" w:color="auto"/>
                        <w:right w:val="none" w:sz="0" w:space="0" w:color="auto"/>
                      </w:divBdr>
                    </w:div>
                    <w:div w:id="1802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6485">
      <w:bodyDiv w:val="1"/>
      <w:marLeft w:val="0"/>
      <w:marRight w:val="0"/>
      <w:marTop w:val="0"/>
      <w:marBottom w:val="0"/>
      <w:divBdr>
        <w:top w:val="none" w:sz="0" w:space="0" w:color="auto"/>
        <w:left w:val="none" w:sz="0" w:space="0" w:color="auto"/>
        <w:bottom w:val="none" w:sz="0" w:space="0" w:color="auto"/>
        <w:right w:val="none" w:sz="0" w:space="0" w:color="auto"/>
      </w:divBdr>
    </w:div>
    <w:div w:id="756559150">
      <w:bodyDiv w:val="1"/>
      <w:marLeft w:val="0"/>
      <w:marRight w:val="0"/>
      <w:marTop w:val="0"/>
      <w:marBottom w:val="0"/>
      <w:divBdr>
        <w:top w:val="none" w:sz="0" w:space="0" w:color="auto"/>
        <w:left w:val="none" w:sz="0" w:space="0" w:color="auto"/>
        <w:bottom w:val="none" w:sz="0" w:space="0" w:color="auto"/>
        <w:right w:val="none" w:sz="0" w:space="0" w:color="auto"/>
      </w:divBdr>
      <w:divsChild>
        <w:div w:id="49966209">
          <w:marLeft w:val="0"/>
          <w:marRight w:val="0"/>
          <w:marTop w:val="0"/>
          <w:marBottom w:val="0"/>
          <w:divBdr>
            <w:top w:val="none" w:sz="0" w:space="0" w:color="auto"/>
            <w:left w:val="none" w:sz="0" w:space="0" w:color="auto"/>
            <w:bottom w:val="none" w:sz="0" w:space="0" w:color="auto"/>
            <w:right w:val="none" w:sz="0" w:space="0" w:color="auto"/>
          </w:divBdr>
          <w:divsChild>
            <w:div w:id="629631087">
              <w:marLeft w:val="0"/>
              <w:marRight w:val="0"/>
              <w:marTop w:val="0"/>
              <w:marBottom w:val="0"/>
              <w:divBdr>
                <w:top w:val="none" w:sz="0" w:space="0" w:color="auto"/>
                <w:left w:val="none" w:sz="0" w:space="0" w:color="auto"/>
                <w:bottom w:val="none" w:sz="0" w:space="0" w:color="auto"/>
                <w:right w:val="none" w:sz="0" w:space="0" w:color="auto"/>
              </w:divBdr>
              <w:divsChild>
                <w:div w:id="1023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307">
      <w:bodyDiv w:val="1"/>
      <w:marLeft w:val="0"/>
      <w:marRight w:val="0"/>
      <w:marTop w:val="0"/>
      <w:marBottom w:val="0"/>
      <w:divBdr>
        <w:top w:val="none" w:sz="0" w:space="0" w:color="auto"/>
        <w:left w:val="none" w:sz="0" w:space="0" w:color="auto"/>
        <w:bottom w:val="none" w:sz="0" w:space="0" w:color="auto"/>
        <w:right w:val="none" w:sz="0" w:space="0" w:color="auto"/>
      </w:divBdr>
      <w:divsChild>
        <w:div w:id="333260520">
          <w:marLeft w:val="0"/>
          <w:marRight w:val="0"/>
          <w:marTop w:val="100"/>
          <w:marBottom w:val="100"/>
          <w:divBdr>
            <w:top w:val="none" w:sz="0" w:space="0" w:color="auto"/>
            <w:left w:val="none" w:sz="0" w:space="0" w:color="auto"/>
            <w:bottom w:val="none" w:sz="0" w:space="0" w:color="auto"/>
            <w:right w:val="none" w:sz="0" w:space="0" w:color="auto"/>
          </w:divBdr>
          <w:divsChild>
            <w:div w:id="727416094">
              <w:marLeft w:val="0"/>
              <w:marRight w:val="0"/>
              <w:marTop w:val="0"/>
              <w:marBottom w:val="0"/>
              <w:divBdr>
                <w:top w:val="none" w:sz="0" w:space="0" w:color="auto"/>
                <w:left w:val="none" w:sz="0" w:space="0" w:color="auto"/>
                <w:bottom w:val="none" w:sz="0" w:space="0" w:color="auto"/>
                <w:right w:val="none" w:sz="0" w:space="0" w:color="auto"/>
              </w:divBdr>
              <w:divsChild>
                <w:div w:id="974602936">
                  <w:marLeft w:val="-6000"/>
                  <w:marRight w:val="0"/>
                  <w:marTop w:val="0"/>
                  <w:marBottom w:val="0"/>
                  <w:divBdr>
                    <w:top w:val="none" w:sz="0" w:space="0" w:color="auto"/>
                    <w:left w:val="none" w:sz="0" w:space="0" w:color="auto"/>
                    <w:bottom w:val="none" w:sz="0" w:space="0" w:color="auto"/>
                    <w:right w:val="none" w:sz="0" w:space="0" w:color="auto"/>
                  </w:divBdr>
                  <w:divsChild>
                    <w:div w:id="991447894">
                      <w:marLeft w:val="0"/>
                      <w:marRight w:val="0"/>
                      <w:marTop w:val="0"/>
                      <w:marBottom w:val="0"/>
                      <w:divBdr>
                        <w:top w:val="none" w:sz="0" w:space="0" w:color="auto"/>
                        <w:left w:val="none" w:sz="0" w:space="0" w:color="auto"/>
                        <w:bottom w:val="none" w:sz="0" w:space="0" w:color="auto"/>
                        <w:right w:val="none" w:sz="0" w:space="0" w:color="auto"/>
                      </w:divBdr>
                      <w:divsChild>
                        <w:div w:id="1897424775">
                          <w:marLeft w:val="1"/>
                          <w:marRight w:val="0"/>
                          <w:marTop w:val="0"/>
                          <w:marBottom w:val="0"/>
                          <w:divBdr>
                            <w:top w:val="none" w:sz="0" w:space="0" w:color="auto"/>
                            <w:left w:val="none" w:sz="0" w:space="0" w:color="auto"/>
                            <w:bottom w:val="none" w:sz="0" w:space="0" w:color="auto"/>
                            <w:right w:val="none" w:sz="0" w:space="0" w:color="auto"/>
                          </w:divBdr>
                          <w:divsChild>
                            <w:div w:id="434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818">
      <w:bodyDiv w:val="1"/>
      <w:marLeft w:val="0"/>
      <w:marRight w:val="0"/>
      <w:marTop w:val="0"/>
      <w:marBottom w:val="0"/>
      <w:divBdr>
        <w:top w:val="none" w:sz="0" w:space="0" w:color="auto"/>
        <w:left w:val="none" w:sz="0" w:space="0" w:color="auto"/>
        <w:bottom w:val="none" w:sz="0" w:space="0" w:color="auto"/>
        <w:right w:val="none" w:sz="0" w:space="0" w:color="auto"/>
      </w:divBdr>
    </w:div>
    <w:div w:id="778794716">
      <w:bodyDiv w:val="1"/>
      <w:marLeft w:val="0"/>
      <w:marRight w:val="0"/>
      <w:marTop w:val="0"/>
      <w:marBottom w:val="0"/>
      <w:divBdr>
        <w:top w:val="none" w:sz="0" w:space="0" w:color="auto"/>
        <w:left w:val="none" w:sz="0" w:space="0" w:color="auto"/>
        <w:bottom w:val="none" w:sz="0" w:space="0" w:color="auto"/>
        <w:right w:val="none" w:sz="0" w:space="0" w:color="auto"/>
      </w:divBdr>
    </w:div>
    <w:div w:id="787431901">
      <w:bodyDiv w:val="1"/>
      <w:marLeft w:val="0"/>
      <w:marRight w:val="0"/>
      <w:marTop w:val="0"/>
      <w:marBottom w:val="0"/>
      <w:divBdr>
        <w:top w:val="none" w:sz="0" w:space="0" w:color="auto"/>
        <w:left w:val="none" w:sz="0" w:space="0" w:color="auto"/>
        <w:bottom w:val="none" w:sz="0" w:space="0" w:color="auto"/>
        <w:right w:val="none" w:sz="0" w:space="0" w:color="auto"/>
      </w:divBdr>
    </w:div>
    <w:div w:id="805970560">
      <w:bodyDiv w:val="1"/>
      <w:marLeft w:val="0"/>
      <w:marRight w:val="0"/>
      <w:marTop w:val="0"/>
      <w:marBottom w:val="0"/>
      <w:divBdr>
        <w:top w:val="none" w:sz="0" w:space="0" w:color="auto"/>
        <w:left w:val="none" w:sz="0" w:space="0" w:color="auto"/>
        <w:bottom w:val="none" w:sz="0" w:space="0" w:color="auto"/>
        <w:right w:val="none" w:sz="0" w:space="0" w:color="auto"/>
      </w:divBdr>
      <w:divsChild>
        <w:div w:id="1264797572">
          <w:marLeft w:val="0"/>
          <w:marRight w:val="0"/>
          <w:marTop w:val="0"/>
          <w:marBottom w:val="0"/>
          <w:divBdr>
            <w:top w:val="none" w:sz="0" w:space="0" w:color="auto"/>
            <w:left w:val="none" w:sz="0" w:space="0" w:color="auto"/>
            <w:bottom w:val="none" w:sz="0" w:space="0" w:color="auto"/>
            <w:right w:val="none" w:sz="0" w:space="0" w:color="auto"/>
          </w:divBdr>
        </w:div>
        <w:div w:id="1710033694">
          <w:marLeft w:val="0"/>
          <w:marRight w:val="0"/>
          <w:marTop w:val="0"/>
          <w:marBottom w:val="0"/>
          <w:divBdr>
            <w:top w:val="none" w:sz="0" w:space="0" w:color="auto"/>
            <w:left w:val="none" w:sz="0" w:space="0" w:color="auto"/>
            <w:bottom w:val="none" w:sz="0" w:space="0" w:color="auto"/>
            <w:right w:val="none" w:sz="0" w:space="0" w:color="auto"/>
          </w:divBdr>
          <w:divsChild>
            <w:div w:id="939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3372">
      <w:bodyDiv w:val="1"/>
      <w:marLeft w:val="0"/>
      <w:marRight w:val="0"/>
      <w:marTop w:val="0"/>
      <w:marBottom w:val="0"/>
      <w:divBdr>
        <w:top w:val="none" w:sz="0" w:space="0" w:color="auto"/>
        <w:left w:val="none" w:sz="0" w:space="0" w:color="auto"/>
        <w:bottom w:val="none" w:sz="0" w:space="0" w:color="auto"/>
        <w:right w:val="none" w:sz="0" w:space="0" w:color="auto"/>
      </w:divBdr>
      <w:divsChild>
        <w:div w:id="1489860224">
          <w:marLeft w:val="0"/>
          <w:marRight w:val="0"/>
          <w:marTop w:val="0"/>
          <w:marBottom w:val="0"/>
          <w:divBdr>
            <w:top w:val="none" w:sz="0" w:space="0" w:color="auto"/>
            <w:left w:val="none" w:sz="0" w:space="0" w:color="auto"/>
            <w:bottom w:val="none" w:sz="0" w:space="0" w:color="auto"/>
            <w:right w:val="none" w:sz="0" w:space="0" w:color="auto"/>
          </w:divBdr>
          <w:divsChild>
            <w:div w:id="1580864736">
              <w:marLeft w:val="0"/>
              <w:marRight w:val="0"/>
              <w:marTop w:val="0"/>
              <w:marBottom w:val="0"/>
              <w:divBdr>
                <w:top w:val="none" w:sz="0" w:space="0" w:color="auto"/>
                <w:left w:val="none" w:sz="0" w:space="0" w:color="auto"/>
                <w:bottom w:val="none" w:sz="0" w:space="0" w:color="auto"/>
                <w:right w:val="none" w:sz="0" w:space="0" w:color="auto"/>
              </w:divBdr>
              <w:divsChild>
                <w:div w:id="1314218577">
                  <w:marLeft w:val="0"/>
                  <w:marRight w:val="0"/>
                  <w:marTop w:val="0"/>
                  <w:marBottom w:val="0"/>
                  <w:divBdr>
                    <w:top w:val="none" w:sz="0" w:space="0" w:color="auto"/>
                    <w:left w:val="none" w:sz="0" w:space="0" w:color="auto"/>
                    <w:bottom w:val="none" w:sz="0" w:space="0" w:color="auto"/>
                    <w:right w:val="none" w:sz="0" w:space="0" w:color="auto"/>
                  </w:divBdr>
                  <w:divsChild>
                    <w:div w:id="1986616228">
                      <w:marLeft w:val="0"/>
                      <w:marRight w:val="0"/>
                      <w:marTop w:val="0"/>
                      <w:marBottom w:val="0"/>
                      <w:divBdr>
                        <w:top w:val="none" w:sz="0" w:space="0" w:color="auto"/>
                        <w:left w:val="none" w:sz="0" w:space="0" w:color="auto"/>
                        <w:bottom w:val="none" w:sz="0" w:space="0" w:color="auto"/>
                        <w:right w:val="none" w:sz="0" w:space="0" w:color="auto"/>
                      </w:divBdr>
                      <w:divsChild>
                        <w:div w:id="946884603">
                          <w:marLeft w:val="0"/>
                          <w:marRight w:val="0"/>
                          <w:marTop w:val="0"/>
                          <w:marBottom w:val="0"/>
                          <w:divBdr>
                            <w:top w:val="none" w:sz="0" w:space="0" w:color="auto"/>
                            <w:left w:val="none" w:sz="0" w:space="0" w:color="auto"/>
                            <w:bottom w:val="none" w:sz="0" w:space="0" w:color="auto"/>
                            <w:right w:val="none" w:sz="0" w:space="0" w:color="auto"/>
                          </w:divBdr>
                          <w:divsChild>
                            <w:div w:id="1407915915">
                              <w:marLeft w:val="-225"/>
                              <w:marRight w:val="0"/>
                              <w:marTop w:val="0"/>
                              <w:marBottom w:val="0"/>
                              <w:divBdr>
                                <w:top w:val="none" w:sz="0" w:space="0" w:color="auto"/>
                                <w:left w:val="none" w:sz="0" w:space="0" w:color="auto"/>
                                <w:bottom w:val="none" w:sz="0" w:space="0" w:color="auto"/>
                                <w:right w:val="none" w:sz="0" w:space="0" w:color="auto"/>
                              </w:divBdr>
                              <w:divsChild>
                                <w:div w:id="1290937095">
                                  <w:marLeft w:val="-225"/>
                                  <w:marRight w:val="0"/>
                                  <w:marTop w:val="0"/>
                                  <w:marBottom w:val="0"/>
                                  <w:divBdr>
                                    <w:top w:val="none" w:sz="0" w:space="0" w:color="auto"/>
                                    <w:left w:val="none" w:sz="0" w:space="0" w:color="auto"/>
                                    <w:bottom w:val="none" w:sz="0" w:space="0" w:color="auto"/>
                                    <w:right w:val="none" w:sz="0" w:space="0" w:color="auto"/>
                                  </w:divBdr>
                                  <w:divsChild>
                                    <w:div w:id="1992323619">
                                      <w:marLeft w:val="0"/>
                                      <w:marRight w:val="0"/>
                                      <w:marTop w:val="0"/>
                                      <w:marBottom w:val="0"/>
                                      <w:divBdr>
                                        <w:top w:val="none" w:sz="0" w:space="0" w:color="auto"/>
                                        <w:left w:val="none" w:sz="0" w:space="0" w:color="auto"/>
                                        <w:bottom w:val="none" w:sz="0" w:space="0" w:color="auto"/>
                                        <w:right w:val="none" w:sz="0" w:space="0" w:color="auto"/>
                                      </w:divBdr>
                                      <w:divsChild>
                                        <w:div w:id="1638610484">
                                          <w:marLeft w:val="0"/>
                                          <w:marRight w:val="0"/>
                                          <w:marTop w:val="0"/>
                                          <w:marBottom w:val="0"/>
                                          <w:divBdr>
                                            <w:top w:val="none" w:sz="0" w:space="0" w:color="auto"/>
                                            <w:left w:val="none" w:sz="0" w:space="0" w:color="auto"/>
                                            <w:bottom w:val="none" w:sz="0" w:space="0" w:color="auto"/>
                                            <w:right w:val="none" w:sz="0" w:space="0" w:color="auto"/>
                                          </w:divBdr>
                                          <w:divsChild>
                                            <w:div w:id="24914819">
                                              <w:marLeft w:val="0"/>
                                              <w:marRight w:val="0"/>
                                              <w:marTop w:val="0"/>
                                              <w:marBottom w:val="0"/>
                                              <w:divBdr>
                                                <w:top w:val="none" w:sz="0" w:space="0" w:color="auto"/>
                                                <w:left w:val="none" w:sz="0" w:space="0" w:color="auto"/>
                                                <w:bottom w:val="none" w:sz="0" w:space="0" w:color="auto"/>
                                                <w:right w:val="none" w:sz="0" w:space="0" w:color="auto"/>
                                              </w:divBdr>
                                              <w:divsChild>
                                                <w:div w:id="242104914">
                                                  <w:marLeft w:val="0"/>
                                                  <w:marRight w:val="0"/>
                                                  <w:marTop w:val="0"/>
                                                  <w:marBottom w:val="300"/>
                                                  <w:divBdr>
                                                    <w:top w:val="none" w:sz="0" w:space="0" w:color="auto"/>
                                                    <w:left w:val="none" w:sz="0" w:space="0" w:color="auto"/>
                                                    <w:bottom w:val="none" w:sz="0" w:space="0" w:color="auto"/>
                                                    <w:right w:val="none" w:sz="0" w:space="0" w:color="auto"/>
                                                  </w:divBdr>
                                                  <w:divsChild>
                                                    <w:div w:id="966617516">
                                                      <w:marLeft w:val="0"/>
                                                      <w:marRight w:val="0"/>
                                                      <w:marTop w:val="0"/>
                                                      <w:marBottom w:val="0"/>
                                                      <w:divBdr>
                                                        <w:top w:val="none" w:sz="0" w:space="0" w:color="auto"/>
                                                        <w:left w:val="none" w:sz="0" w:space="0" w:color="auto"/>
                                                        <w:bottom w:val="none" w:sz="0" w:space="0" w:color="auto"/>
                                                        <w:right w:val="none" w:sz="0" w:space="0" w:color="auto"/>
                                                      </w:divBdr>
                                                      <w:divsChild>
                                                        <w:div w:id="1923760504">
                                                          <w:marLeft w:val="0"/>
                                                          <w:marRight w:val="0"/>
                                                          <w:marTop w:val="0"/>
                                                          <w:marBottom w:val="0"/>
                                                          <w:divBdr>
                                                            <w:top w:val="none" w:sz="0" w:space="0" w:color="auto"/>
                                                            <w:left w:val="none" w:sz="0" w:space="0" w:color="auto"/>
                                                            <w:bottom w:val="none" w:sz="0" w:space="0" w:color="auto"/>
                                                            <w:right w:val="none" w:sz="0" w:space="0" w:color="auto"/>
                                                          </w:divBdr>
                                                          <w:divsChild>
                                                            <w:div w:id="1568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154579">
      <w:bodyDiv w:val="1"/>
      <w:marLeft w:val="0"/>
      <w:marRight w:val="0"/>
      <w:marTop w:val="0"/>
      <w:marBottom w:val="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sChild>
            <w:div w:id="2007316792">
              <w:marLeft w:val="0"/>
              <w:marRight w:val="0"/>
              <w:marTop w:val="0"/>
              <w:marBottom w:val="0"/>
              <w:divBdr>
                <w:top w:val="none" w:sz="0" w:space="0" w:color="auto"/>
                <w:left w:val="none" w:sz="0" w:space="0" w:color="auto"/>
                <w:bottom w:val="none" w:sz="0" w:space="0" w:color="auto"/>
                <w:right w:val="none" w:sz="0" w:space="0" w:color="auto"/>
              </w:divBdr>
              <w:divsChild>
                <w:div w:id="882450424">
                  <w:marLeft w:val="0"/>
                  <w:marRight w:val="0"/>
                  <w:marTop w:val="0"/>
                  <w:marBottom w:val="0"/>
                  <w:divBdr>
                    <w:top w:val="none" w:sz="0" w:space="0" w:color="auto"/>
                    <w:left w:val="none" w:sz="0" w:space="0" w:color="auto"/>
                    <w:bottom w:val="none" w:sz="0" w:space="0" w:color="auto"/>
                    <w:right w:val="none" w:sz="0" w:space="0" w:color="auto"/>
                  </w:divBdr>
                  <w:divsChild>
                    <w:div w:id="766534752">
                      <w:marLeft w:val="0"/>
                      <w:marRight w:val="0"/>
                      <w:marTop w:val="0"/>
                      <w:marBottom w:val="0"/>
                      <w:divBdr>
                        <w:top w:val="none" w:sz="0" w:space="0" w:color="auto"/>
                        <w:left w:val="none" w:sz="0" w:space="0" w:color="auto"/>
                        <w:bottom w:val="none" w:sz="0" w:space="0" w:color="auto"/>
                        <w:right w:val="none" w:sz="0" w:space="0" w:color="auto"/>
                      </w:divBdr>
                    </w:div>
                    <w:div w:id="1500846130">
                      <w:marLeft w:val="0"/>
                      <w:marRight w:val="0"/>
                      <w:marTop w:val="0"/>
                      <w:marBottom w:val="0"/>
                      <w:divBdr>
                        <w:top w:val="none" w:sz="0" w:space="0" w:color="auto"/>
                        <w:left w:val="none" w:sz="0" w:space="0" w:color="auto"/>
                        <w:bottom w:val="none" w:sz="0" w:space="0" w:color="auto"/>
                        <w:right w:val="none" w:sz="0" w:space="0" w:color="auto"/>
                      </w:divBdr>
                    </w:div>
                    <w:div w:id="1505973060">
                      <w:marLeft w:val="0"/>
                      <w:marRight w:val="0"/>
                      <w:marTop w:val="0"/>
                      <w:marBottom w:val="0"/>
                      <w:divBdr>
                        <w:top w:val="none" w:sz="0" w:space="0" w:color="auto"/>
                        <w:left w:val="none" w:sz="0" w:space="0" w:color="auto"/>
                        <w:bottom w:val="none" w:sz="0" w:space="0" w:color="auto"/>
                        <w:right w:val="none" w:sz="0" w:space="0" w:color="auto"/>
                      </w:divBdr>
                      <w:divsChild>
                        <w:div w:id="14756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3325">
      <w:bodyDiv w:val="1"/>
      <w:marLeft w:val="0"/>
      <w:marRight w:val="0"/>
      <w:marTop w:val="0"/>
      <w:marBottom w:val="0"/>
      <w:divBdr>
        <w:top w:val="none" w:sz="0" w:space="0" w:color="auto"/>
        <w:left w:val="none" w:sz="0" w:space="0" w:color="auto"/>
        <w:bottom w:val="none" w:sz="0" w:space="0" w:color="auto"/>
        <w:right w:val="none" w:sz="0" w:space="0" w:color="auto"/>
      </w:divBdr>
      <w:divsChild>
        <w:div w:id="477721119">
          <w:marLeft w:val="0"/>
          <w:marRight w:val="0"/>
          <w:marTop w:val="0"/>
          <w:marBottom w:val="0"/>
          <w:divBdr>
            <w:top w:val="none" w:sz="0" w:space="0" w:color="auto"/>
            <w:left w:val="none" w:sz="0" w:space="0" w:color="auto"/>
            <w:bottom w:val="none" w:sz="0" w:space="0" w:color="auto"/>
            <w:right w:val="none" w:sz="0" w:space="0" w:color="auto"/>
          </w:divBdr>
        </w:div>
        <w:div w:id="1506088826">
          <w:marLeft w:val="0"/>
          <w:marRight w:val="0"/>
          <w:marTop w:val="0"/>
          <w:marBottom w:val="0"/>
          <w:divBdr>
            <w:top w:val="none" w:sz="0" w:space="0" w:color="auto"/>
            <w:left w:val="none" w:sz="0" w:space="0" w:color="auto"/>
            <w:bottom w:val="none" w:sz="0" w:space="0" w:color="auto"/>
            <w:right w:val="none" w:sz="0" w:space="0" w:color="auto"/>
          </w:divBdr>
        </w:div>
      </w:divsChild>
    </w:div>
    <w:div w:id="959456356">
      <w:bodyDiv w:val="1"/>
      <w:marLeft w:val="0"/>
      <w:marRight w:val="0"/>
      <w:marTop w:val="0"/>
      <w:marBottom w:val="0"/>
      <w:divBdr>
        <w:top w:val="none" w:sz="0" w:space="0" w:color="auto"/>
        <w:left w:val="none" w:sz="0" w:space="0" w:color="auto"/>
        <w:bottom w:val="none" w:sz="0" w:space="0" w:color="auto"/>
        <w:right w:val="none" w:sz="0" w:space="0" w:color="auto"/>
      </w:divBdr>
    </w:div>
    <w:div w:id="992417507">
      <w:bodyDiv w:val="1"/>
      <w:marLeft w:val="0"/>
      <w:marRight w:val="0"/>
      <w:marTop w:val="0"/>
      <w:marBottom w:val="0"/>
      <w:divBdr>
        <w:top w:val="none" w:sz="0" w:space="0" w:color="auto"/>
        <w:left w:val="none" w:sz="0" w:space="0" w:color="auto"/>
        <w:bottom w:val="none" w:sz="0" w:space="0" w:color="auto"/>
        <w:right w:val="none" w:sz="0" w:space="0" w:color="auto"/>
      </w:divBdr>
    </w:div>
    <w:div w:id="1082681204">
      <w:bodyDiv w:val="1"/>
      <w:marLeft w:val="0"/>
      <w:marRight w:val="0"/>
      <w:marTop w:val="0"/>
      <w:marBottom w:val="0"/>
      <w:divBdr>
        <w:top w:val="none" w:sz="0" w:space="0" w:color="auto"/>
        <w:left w:val="none" w:sz="0" w:space="0" w:color="auto"/>
        <w:bottom w:val="none" w:sz="0" w:space="0" w:color="auto"/>
        <w:right w:val="none" w:sz="0" w:space="0" w:color="auto"/>
      </w:divBdr>
    </w:div>
    <w:div w:id="1106461734">
      <w:bodyDiv w:val="1"/>
      <w:marLeft w:val="0"/>
      <w:marRight w:val="0"/>
      <w:marTop w:val="0"/>
      <w:marBottom w:val="0"/>
      <w:divBdr>
        <w:top w:val="none" w:sz="0" w:space="0" w:color="auto"/>
        <w:left w:val="none" w:sz="0" w:space="0" w:color="auto"/>
        <w:bottom w:val="none" w:sz="0" w:space="0" w:color="auto"/>
        <w:right w:val="none" w:sz="0" w:space="0" w:color="auto"/>
      </w:divBdr>
    </w:div>
    <w:div w:id="1123041138">
      <w:bodyDiv w:val="1"/>
      <w:marLeft w:val="0"/>
      <w:marRight w:val="0"/>
      <w:marTop w:val="0"/>
      <w:marBottom w:val="0"/>
      <w:divBdr>
        <w:top w:val="none" w:sz="0" w:space="0" w:color="auto"/>
        <w:left w:val="none" w:sz="0" w:space="0" w:color="auto"/>
        <w:bottom w:val="none" w:sz="0" w:space="0" w:color="auto"/>
        <w:right w:val="none" w:sz="0" w:space="0" w:color="auto"/>
      </w:divBdr>
    </w:div>
    <w:div w:id="1148593785">
      <w:bodyDiv w:val="1"/>
      <w:marLeft w:val="0"/>
      <w:marRight w:val="0"/>
      <w:marTop w:val="0"/>
      <w:marBottom w:val="0"/>
      <w:divBdr>
        <w:top w:val="none" w:sz="0" w:space="0" w:color="auto"/>
        <w:left w:val="none" w:sz="0" w:space="0" w:color="auto"/>
        <w:bottom w:val="none" w:sz="0" w:space="0" w:color="auto"/>
        <w:right w:val="none" w:sz="0" w:space="0" w:color="auto"/>
      </w:divBdr>
      <w:divsChild>
        <w:div w:id="1148858917">
          <w:marLeft w:val="0"/>
          <w:marRight w:val="0"/>
          <w:marTop w:val="0"/>
          <w:marBottom w:val="0"/>
          <w:divBdr>
            <w:top w:val="none" w:sz="0" w:space="0" w:color="auto"/>
            <w:left w:val="none" w:sz="0" w:space="0" w:color="auto"/>
            <w:bottom w:val="none" w:sz="0" w:space="0" w:color="auto"/>
            <w:right w:val="none" w:sz="0" w:space="0" w:color="auto"/>
          </w:divBdr>
          <w:divsChild>
            <w:div w:id="2029139556">
              <w:marLeft w:val="0"/>
              <w:marRight w:val="0"/>
              <w:marTop w:val="0"/>
              <w:marBottom w:val="0"/>
              <w:divBdr>
                <w:top w:val="none" w:sz="0" w:space="0" w:color="auto"/>
                <w:left w:val="none" w:sz="0" w:space="0" w:color="auto"/>
                <w:bottom w:val="none" w:sz="0" w:space="0" w:color="auto"/>
                <w:right w:val="none" w:sz="0" w:space="0" w:color="auto"/>
              </w:divBdr>
              <w:divsChild>
                <w:div w:id="31276026">
                  <w:marLeft w:val="0"/>
                  <w:marRight w:val="0"/>
                  <w:marTop w:val="0"/>
                  <w:marBottom w:val="0"/>
                  <w:divBdr>
                    <w:top w:val="none" w:sz="0" w:space="0" w:color="auto"/>
                    <w:left w:val="none" w:sz="0" w:space="0" w:color="auto"/>
                    <w:bottom w:val="none" w:sz="0" w:space="0" w:color="auto"/>
                    <w:right w:val="none" w:sz="0" w:space="0" w:color="auto"/>
                  </w:divBdr>
                  <w:divsChild>
                    <w:div w:id="1641570060">
                      <w:marLeft w:val="0"/>
                      <w:marRight w:val="0"/>
                      <w:marTop w:val="0"/>
                      <w:marBottom w:val="0"/>
                      <w:divBdr>
                        <w:top w:val="none" w:sz="0" w:space="0" w:color="auto"/>
                        <w:left w:val="none" w:sz="0" w:space="0" w:color="auto"/>
                        <w:bottom w:val="none" w:sz="0" w:space="0" w:color="auto"/>
                        <w:right w:val="none" w:sz="0" w:space="0" w:color="auto"/>
                      </w:divBdr>
                      <w:divsChild>
                        <w:div w:id="1990743222">
                          <w:marLeft w:val="0"/>
                          <w:marRight w:val="0"/>
                          <w:marTop w:val="0"/>
                          <w:marBottom w:val="0"/>
                          <w:divBdr>
                            <w:top w:val="none" w:sz="0" w:space="0" w:color="auto"/>
                            <w:left w:val="none" w:sz="0" w:space="0" w:color="auto"/>
                            <w:bottom w:val="none" w:sz="0" w:space="0" w:color="auto"/>
                            <w:right w:val="none" w:sz="0" w:space="0" w:color="auto"/>
                          </w:divBdr>
                          <w:divsChild>
                            <w:div w:id="358316861">
                              <w:marLeft w:val="0"/>
                              <w:marRight w:val="0"/>
                              <w:marTop w:val="0"/>
                              <w:marBottom w:val="0"/>
                              <w:divBdr>
                                <w:top w:val="none" w:sz="0" w:space="0" w:color="auto"/>
                                <w:left w:val="none" w:sz="0" w:space="0" w:color="auto"/>
                                <w:bottom w:val="none" w:sz="0" w:space="0" w:color="auto"/>
                                <w:right w:val="none" w:sz="0" w:space="0" w:color="auto"/>
                              </w:divBdr>
                              <w:divsChild>
                                <w:div w:id="891381487">
                                  <w:marLeft w:val="0"/>
                                  <w:marRight w:val="0"/>
                                  <w:marTop w:val="0"/>
                                  <w:marBottom w:val="0"/>
                                  <w:divBdr>
                                    <w:top w:val="none" w:sz="0" w:space="0" w:color="auto"/>
                                    <w:left w:val="none" w:sz="0" w:space="0" w:color="auto"/>
                                    <w:bottom w:val="none" w:sz="0" w:space="0" w:color="auto"/>
                                    <w:right w:val="none" w:sz="0" w:space="0" w:color="auto"/>
                                  </w:divBdr>
                                  <w:divsChild>
                                    <w:div w:id="14160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5509">
      <w:bodyDiv w:val="1"/>
      <w:marLeft w:val="0"/>
      <w:marRight w:val="0"/>
      <w:marTop w:val="0"/>
      <w:marBottom w:val="0"/>
      <w:divBdr>
        <w:top w:val="none" w:sz="0" w:space="0" w:color="auto"/>
        <w:left w:val="none" w:sz="0" w:space="0" w:color="auto"/>
        <w:bottom w:val="none" w:sz="0" w:space="0" w:color="auto"/>
        <w:right w:val="none" w:sz="0" w:space="0" w:color="auto"/>
      </w:divBdr>
      <w:divsChild>
        <w:div w:id="375159665">
          <w:marLeft w:val="0"/>
          <w:marRight w:val="0"/>
          <w:marTop w:val="0"/>
          <w:marBottom w:val="0"/>
          <w:divBdr>
            <w:top w:val="none" w:sz="0" w:space="0" w:color="auto"/>
            <w:left w:val="none" w:sz="0" w:space="0" w:color="auto"/>
            <w:bottom w:val="none" w:sz="0" w:space="0" w:color="auto"/>
            <w:right w:val="none" w:sz="0" w:space="0" w:color="auto"/>
          </w:divBdr>
          <w:divsChild>
            <w:div w:id="2040232776">
              <w:marLeft w:val="0"/>
              <w:marRight w:val="0"/>
              <w:marTop w:val="0"/>
              <w:marBottom w:val="0"/>
              <w:divBdr>
                <w:top w:val="none" w:sz="0" w:space="0" w:color="auto"/>
                <w:left w:val="none" w:sz="0" w:space="0" w:color="auto"/>
                <w:bottom w:val="none" w:sz="0" w:space="0" w:color="auto"/>
                <w:right w:val="none" w:sz="0" w:space="0" w:color="auto"/>
              </w:divBdr>
              <w:divsChild>
                <w:div w:id="1524708712">
                  <w:marLeft w:val="0"/>
                  <w:marRight w:val="0"/>
                  <w:marTop w:val="0"/>
                  <w:marBottom w:val="0"/>
                  <w:divBdr>
                    <w:top w:val="none" w:sz="0" w:space="0" w:color="auto"/>
                    <w:left w:val="none" w:sz="0" w:space="0" w:color="auto"/>
                    <w:bottom w:val="none" w:sz="0" w:space="0" w:color="auto"/>
                    <w:right w:val="none" w:sz="0" w:space="0" w:color="auto"/>
                  </w:divBdr>
                  <w:divsChild>
                    <w:div w:id="1576084201">
                      <w:marLeft w:val="0"/>
                      <w:marRight w:val="0"/>
                      <w:marTop w:val="0"/>
                      <w:marBottom w:val="0"/>
                      <w:divBdr>
                        <w:top w:val="none" w:sz="0" w:space="0" w:color="auto"/>
                        <w:left w:val="none" w:sz="0" w:space="0" w:color="auto"/>
                        <w:bottom w:val="none" w:sz="0" w:space="0" w:color="auto"/>
                        <w:right w:val="none" w:sz="0" w:space="0" w:color="auto"/>
                      </w:divBdr>
                      <w:divsChild>
                        <w:div w:id="1461075251">
                          <w:marLeft w:val="0"/>
                          <w:marRight w:val="0"/>
                          <w:marTop w:val="0"/>
                          <w:marBottom w:val="0"/>
                          <w:divBdr>
                            <w:top w:val="none" w:sz="0" w:space="0" w:color="auto"/>
                            <w:left w:val="none" w:sz="0" w:space="0" w:color="auto"/>
                            <w:bottom w:val="none" w:sz="0" w:space="0" w:color="auto"/>
                            <w:right w:val="none" w:sz="0" w:space="0" w:color="auto"/>
                          </w:divBdr>
                          <w:divsChild>
                            <w:div w:id="728041708">
                              <w:marLeft w:val="0"/>
                              <w:marRight w:val="0"/>
                              <w:marTop w:val="0"/>
                              <w:marBottom w:val="0"/>
                              <w:divBdr>
                                <w:top w:val="none" w:sz="0" w:space="0" w:color="auto"/>
                                <w:left w:val="none" w:sz="0" w:space="0" w:color="auto"/>
                                <w:bottom w:val="none" w:sz="0" w:space="0" w:color="auto"/>
                                <w:right w:val="none" w:sz="0" w:space="0" w:color="auto"/>
                              </w:divBdr>
                              <w:divsChild>
                                <w:div w:id="438912950">
                                  <w:marLeft w:val="0"/>
                                  <w:marRight w:val="0"/>
                                  <w:marTop w:val="0"/>
                                  <w:marBottom w:val="0"/>
                                  <w:divBdr>
                                    <w:top w:val="none" w:sz="0" w:space="0" w:color="auto"/>
                                    <w:left w:val="none" w:sz="0" w:space="0" w:color="auto"/>
                                    <w:bottom w:val="none" w:sz="0" w:space="0" w:color="auto"/>
                                    <w:right w:val="none" w:sz="0" w:space="0" w:color="auto"/>
                                  </w:divBdr>
                                  <w:divsChild>
                                    <w:div w:id="997726454">
                                      <w:marLeft w:val="0"/>
                                      <w:marRight w:val="0"/>
                                      <w:marTop w:val="0"/>
                                      <w:marBottom w:val="0"/>
                                      <w:divBdr>
                                        <w:top w:val="none" w:sz="0" w:space="0" w:color="auto"/>
                                        <w:left w:val="none" w:sz="0" w:space="0" w:color="auto"/>
                                        <w:bottom w:val="none" w:sz="0" w:space="0" w:color="auto"/>
                                        <w:right w:val="none" w:sz="0" w:space="0" w:color="auto"/>
                                      </w:divBdr>
                                      <w:divsChild>
                                        <w:div w:id="1433817465">
                                          <w:marLeft w:val="0"/>
                                          <w:marRight w:val="0"/>
                                          <w:marTop w:val="0"/>
                                          <w:marBottom w:val="540"/>
                                          <w:divBdr>
                                            <w:top w:val="none" w:sz="0" w:space="0" w:color="auto"/>
                                            <w:left w:val="none" w:sz="0" w:space="0" w:color="auto"/>
                                            <w:bottom w:val="none" w:sz="0" w:space="0" w:color="auto"/>
                                            <w:right w:val="none" w:sz="0" w:space="0" w:color="auto"/>
                                          </w:divBdr>
                                          <w:divsChild>
                                            <w:div w:id="1429306696">
                                              <w:marLeft w:val="0"/>
                                              <w:marRight w:val="0"/>
                                              <w:marTop w:val="0"/>
                                              <w:marBottom w:val="0"/>
                                              <w:divBdr>
                                                <w:top w:val="none" w:sz="0" w:space="0" w:color="auto"/>
                                                <w:left w:val="none" w:sz="0" w:space="0" w:color="auto"/>
                                                <w:bottom w:val="none" w:sz="0" w:space="0" w:color="auto"/>
                                                <w:right w:val="none" w:sz="0" w:space="0" w:color="auto"/>
                                              </w:divBdr>
                                              <w:divsChild>
                                                <w:div w:id="1565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278539">
      <w:bodyDiv w:val="1"/>
      <w:marLeft w:val="0"/>
      <w:marRight w:val="0"/>
      <w:marTop w:val="0"/>
      <w:marBottom w:val="0"/>
      <w:divBdr>
        <w:top w:val="none" w:sz="0" w:space="0" w:color="auto"/>
        <w:left w:val="none" w:sz="0" w:space="0" w:color="auto"/>
        <w:bottom w:val="none" w:sz="0" w:space="0" w:color="auto"/>
        <w:right w:val="none" w:sz="0" w:space="0" w:color="auto"/>
      </w:divBdr>
    </w:div>
    <w:div w:id="1299530482">
      <w:bodyDiv w:val="1"/>
      <w:marLeft w:val="0"/>
      <w:marRight w:val="0"/>
      <w:marTop w:val="0"/>
      <w:marBottom w:val="0"/>
      <w:divBdr>
        <w:top w:val="none" w:sz="0" w:space="0" w:color="auto"/>
        <w:left w:val="none" w:sz="0" w:space="0" w:color="auto"/>
        <w:bottom w:val="none" w:sz="0" w:space="0" w:color="auto"/>
        <w:right w:val="none" w:sz="0" w:space="0" w:color="auto"/>
      </w:divBdr>
      <w:divsChild>
        <w:div w:id="118453605">
          <w:marLeft w:val="0"/>
          <w:marRight w:val="0"/>
          <w:marTop w:val="100"/>
          <w:marBottom w:val="100"/>
          <w:divBdr>
            <w:top w:val="none" w:sz="0" w:space="0" w:color="auto"/>
            <w:left w:val="none" w:sz="0" w:space="0" w:color="auto"/>
            <w:bottom w:val="none" w:sz="0" w:space="0" w:color="auto"/>
            <w:right w:val="none" w:sz="0" w:space="0" w:color="auto"/>
          </w:divBdr>
          <w:divsChild>
            <w:div w:id="1994991362">
              <w:marLeft w:val="0"/>
              <w:marRight w:val="0"/>
              <w:marTop w:val="0"/>
              <w:marBottom w:val="0"/>
              <w:divBdr>
                <w:top w:val="none" w:sz="0" w:space="0" w:color="auto"/>
                <w:left w:val="none" w:sz="0" w:space="0" w:color="auto"/>
                <w:bottom w:val="none" w:sz="0" w:space="0" w:color="auto"/>
                <w:right w:val="none" w:sz="0" w:space="0" w:color="auto"/>
              </w:divBdr>
              <w:divsChild>
                <w:div w:id="32198618">
                  <w:marLeft w:val="-6000"/>
                  <w:marRight w:val="0"/>
                  <w:marTop w:val="0"/>
                  <w:marBottom w:val="0"/>
                  <w:divBdr>
                    <w:top w:val="none" w:sz="0" w:space="0" w:color="auto"/>
                    <w:left w:val="none" w:sz="0" w:space="0" w:color="auto"/>
                    <w:bottom w:val="none" w:sz="0" w:space="0" w:color="auto"/>
                    <w:right w:val="none" w:sz="0" w:space="0" w:color="auto"/>
                  </w:divBdr>
                  <w:divsChild>
                    <w:div w:id="916284366">
                      <w:marLeft w:val="0"/>
                      <w:marRight w:val="0"/>
                      <w:marTop w:val="0"/>
                      <w:marBottom w:val="0"/>
                      <w:divBdr>
                        <w:top w:val="none" w:sz="0" w:space="0" w:color="auto"/>
                        <w:left w:val="none" w:sz="0" w:space="0" w:color="auto"/>
                        <w:bottom w:val="none" w:sz="0" w:space="0" w:color="auto"/>
                        <w:right w:val="none" w:sz="0" w:space="0" w:color="auto"/>
                      </w:divBdr>
                      <w:divsChild>
                        <w:div w:id="1590384290">
                          <w:marLeft w:val="1"/>
                          <w:marRight w:val="0"/>
                          <w:marTop w:val="0"/>
                          <w:marBottom w:val="0"/>
                          <w:divBdr>
                            <w:top w:val="none" w:sz="0" w:space="0" w:color="auto"/>
                            <w:left w:val="none" w:sz="0" w:space="0" w:color="auto"/>
                            <w:bottom w:val="none" w:sz="0" w:space="0" w:color="auto"/>
                            <w:right w:val="none" w:sz="0" w:space="0" w:color="auto"/>
                          </w:divBdr>
                          <w:divsChild>
                            <w:div w:id="1409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178">
      <w:bodyDiv w:val="1"/>
      <w:marLeft w:val="0"/>
      <w:marRight w:val="0"/>
      <w:marTop w:val="0"/>
      <w:marBottom w:val="0"/>
      <w:divBdr>
        <w:top w:val="none" w:sz="0" w:space="0" w:color="auto"/>
        <w:left w:val="none" w:sz="0" w:space="0" w:color="auto"/>
        <w:bottom w:val="none" w:sz="0" w:space="0" w:color="auto"/>
        <w:right w:val="none" w:sz="0" w:space="0" w:color="auto"/>
      </w:divBdr>
      <w:divsChild>
        <w:div w:id="406343776">
          <w:marLeft w:val="0"/>
          <w:marRight w:val="0"/>
          <w:marTop w:val="0"/>
          <w:marBottom w:val="0"/>
          <w:divBdr>
            <w:top w:val="none" w:sz="0" w:space="0" w:color="auto"/>
            <w:left w:val="none" w:sz="0" w:space="0" w:color="auto"/>
            <w:bottom w:val="none" w:sz="0" w:space="0" w:color="auto"/>
            <w:right w:val="none" w:sz="0" w:space="0" w:color="auto"/>
          </w:divBdr>
          <w:divsChild>
            <w:div w:id="635179563">
              <w:marLeft w:val="0"/>
              <w:marRight w:val="0"/>
              <w:marTop w:val="0"/>
              <w:marBottom w:val="0"/>
              <w:divBdr>
                <w:top w:val="none" w:sz="0" w:space="0" w:color="auto"/>
                <w:left w:val="none" w:sz="0" w:space="0" w:color="auto"/>
                <w:bottom w:val="none" w:sz="0" w:space="0" w:color="auto"/>
                <w:right w:val="none" w:sz="0" w:space="0" w:color="auto"/>
              </w:divBdr>
            </w:div>
          </w:divsChild>
        </w:div>
        <w:div w:id="435909105">
          <w:marLeft w:val="0"/>
          <w:marRight w:val="0"/>
          <w:marTop w:val="0"/>
          <w:marBottom w:val="0"/>
          <w:divBdr>
            <w:top w:val="none" w:sz="0" w:space="0" w:color="auto"/>
            <w:left w:val="none" w:sz="0" w:space="0" w:color="auto"/>
            <w:bottom w:val="none" w:sz="0" w:space="0" w:color="auto"/>
            <w:right w:val="none" w:sz="0" w:space="0" w:color="auto"/>
          </w:divBdr>
        </w:div>
      </w:divsChild>
    </w:div>
    <w:div w:id="1340498871">
      <w:bodyDiv w:val="1"/>
      <w:marLeft w:val="0"/>
      <w:marRight w:val="0"/>
      <w:marTop w:val="0"/>
      <w:marBottom w:val="0"/>
      <w:divBdr>
        <w:top w:val="none" w:sz="0" w:space="0" w:color="auto"/>
        <w:left w:val="none" w:sz="0" w:space="0" w:color="auto"/>
        <w:bottom w:val="none" w:sz="0" w:space="0" w:color="auto"/>
        <w:right w:val="none" w:sz="0" w:space="0" w:color="auto"/>
      </w:divBdr>
    </w:div>
    <w:div w:id="1351642601">
      <w:bodyDiv w:val="1"/>
      <w:marLeft w:val="0"/>
      <w:marRight w:val="0"/>
      <w:marTop w:val="0"/>
      <w:marBottom w:val="0"/>
      <w:divBdr>
        <w:top w:val="none" w:sz="0" w:space="0" w:color="auto"/>
        <w:left w:val="none" w:sz="0" w:space="0" w:color="auto"/>
        <w:bottom w:val="none" w:sz="0" w:space="0" w:color="auto"/>
        <w:right w:val="none" w:sz="0" w:space="0" w:color="auto"/>
      </w:divBdr>
    </w:div>
    <w:div w:id="1483355611">
      <w:bodyDiv w:val="1"/>
      <w:marLeft w:val="0"/>
      <w:marRight w:val="0"/>
      <w:marTop w:val="0"/>
      <w:marBottom w:val="0"/>
      <w:divBdr>
        <w:top w:val="none" w:sz="0" w:space="0" w:color="auto"/>
        <w:left w:val="none" w:sz="0" w:space="0" w:color="auto"/>
        <w:bottom w:val="none" w:sz="0" w:space="0" w:color="auto"/>
        <w:right w:val="none" w:sz="0" w:space="0" w:color="auto"/>
      </w:divBdr>
      <w:divsChild>
        <w:div w:id="487289613">
          <w:marLeft w:val="0"/>
          <w:marRight w:val="0"/>
          <w:marTop w:val="0"/>
          <w:marBottom w:val="0"/>
          <w:divBdr>
            <w:top w:val="none" w:sz="0" w:space="0" w:color="auto"/>
            <w:left w:val="none" w:sz="0" w:space="0" w:color="auto"/>
            <w:bottom w:val="none" w:sz="0" w:space="0" w:color="auto"/>
            <w:right w:val="none" w:sz="0" w:space="0" w:color="auto"/>
          </w:divBdr>
          <w:divsChild>
            <w:div w:id="280576779">
              <w:marLeft w:val="0"/>
              <w:marRight w:val="0"/>
              <w:marTop w:val="0"/>
              <w:marBottom w:val="0"/>
              <w:divBdr>
                <w:top w:val="none" w:sz="0" w:space="0" w:color="auto"/>
                <w:left w:val="none" w:sz="0" w:space="0" w:color="auto"/>
                <w:bottom w:val="none" w:sz="0" w:space="0" w:color="auto"/>
                <w:right w:val="none" w:sz="0" w:space="0" w:color="auto"/>
              </w:divBdr>
              <w:divsChild>
                <w:div w:id="1595625708">
                  <w:marLeft w:val="0"/>
                  <w:marRight w:val="0"/>
                  <w:marTop w:val="0"/>
                  <w:marBottom w:val="0"/>
                  <w:divBdr>
                    <w:top w:val="none" w:sz="0" w:space="0" w:color="auto"/>
                    <w:left w:val="none" w:sz="0" w:space="0" w:color="auto"/>
                    <w:bottom w:val="none" w:sz="0" w:space="0" w:color="auto"/>
                    <w:right w:val="none" w:sz="0" w:space="0" w:color="auto"/>
                  </w:divBdr>
                  <w:divsChild>
                    <w:div w:id="1371687677">
                      <w:marLeft w:val="0"/>
                      <w:marRight w:val="0"/>
                      <w:marTop w:val="0"/>
                      <w:marBottom w:val="0"/>
                      <w:divBdr>
                        <w:top w:val="none" w:sz="0" w:space="0" w:color="auto"/>
                        <w:left w:val="none" w:sz="0" w:space="0" w:color="auto"/>
                        <w:bottom w:val="none" w:sz="0" w:space="0" w:color="auto"/>
                        <w:right w:val="none" w:sz="0" w:space="0" w:color="auto"/>
                      </w:divBdr>
                      <w:divsChild>
                        <w:div w:id="57897771">
                          <w:marLeft w:val="0"/>
                          <w:marRight w:val="0"/>
                          <w:marTop w:val="150"/>
                          <w:marBottom w:val="0"/>
                          <w:divBdr>
                            <w:top w:val="none" w:sz="0" w:space="0" w:color="auto"/>
                            <w:left w:val="none" w:sz="0" w:space="0" w:color="auto"/>
                            <w:bottom w:val="none" w:sz="0" w:space="0" w:color="auto"/>
                            <w:right w:val="none" w:sz="0" w:space="0" w:color="auto"/>
                          </w:divBdr>
                          <w:divsChild>
                            <w:div w:id="872769833">
                              <w:marLeft w:val="0"/>
                              <w:marRight w:val="0"/>
                              <w:marTop w:val="0"/>
                              <w:marBottom w:val="0"/>
                              <w:divBdr>
                                <w:top w:val="none" w:sz="0" w:space="0" w:color="auto"/>
                                <w:left w:val="none" w:sz="0" w:space="0" w:color="auto"/>
                                <w:bottom w:val="none" w:sz="0" w:space="0" w:color="auto"/>
                                <w:right w:val="none" w:sz="0" w:space="0" w:color="auto"/>
                              </w:divBdr>
                              <w:divsChild>
                                <w:div w:id="1900506798">
                                  <w:marLeft w:val="0"/>
                                  <w:marRight w:val="0"/>
                                  <w:marTop w:val="0"/>
                                  <w:marBottom w:val="0"/>
                                  <w:divBdr>
                                    <w:top w:val="none" w:sz="0" w:space="0" w:color="auto"/>
                                    <w:left w:val="none" w:sz="0" w:space="0" w:color="auto"/>
                                    <w:bottom w:val="none" w:sz="0" w:space="0" w:color="auto"/>
                                    <w:right w:val="none" w:sz="0" w:space="0" w:color="auto"/>
                                  </w:divBdr>
                                  <w:divsChild>
                                    <w:div w:id="1557424165">
                                      <w:marLeft w:val="0"/>
                                      <w:marRight w:val="0"/>
                                      <w:marTop w:val="0"/>
                                      <w:marBottom w:val="0"/>
                                      <w:divBdr>
                                        <w:top w:val="none" w:sz="0" w:space="0" w:color="auto"/>
                                        <w:left w:val="none" w:sz="0" w:space="0" w:color="auto"/>
                                        <w:bottom w:val="none" w:sz="0" w:space="0" w:color="auto"/>
                                        <w:right w:val="none" w:sz="0" w:space="0" w:color="auto"/>
                                      </w:divBdr>
                                      <w:divsChild>
                                        <w:div w:id="217324385">
                                          <w:marLeft w:val="0"/>
                                          <w:marRight w:val="0"/>
                                          <w:marTop w:val="0"/>
                                          <w:marBottom w:val="0"/>
                                          <w:divBdr>
                                            <w:top w:val="none" w:sz="0" w:space="0" w:color="auto"/>
                                            <w:left w:val="none" w:sz="0" w:space="0" w:color="auto"/>
                                            <w:bottom w:val="none" w:sz="0" w:space="0" w:color="auto"/>
                                            <w:right w:val="none" w:sz="0" w:space="0" w:color="auto"/>
                                          </w:divBdr>
                                          <w:divsChild>
                                            <w:div w:id="1938250622">
                                              <w:marLeft w:val="0"/>
                                              <w:marRight w:val="0"/>
                                              <w:marTop w:val="0"/>
                                              <w:marBottom w:val="0"/>
                                              <w:divBdr>
                                                <w:top w:val="none" w:sz="0" w:space="0" w:color="auto"/>
                                                <w:left w:val="none" w:sz="0" w:space="0" w:color="auto"/>
                                                <w:bottom w:val="none" w:sz="0" w:space="0" w:color="auto"/>
                                                <w:right w:val="none" w:sz="0" w:space="0" w:color="auto"/>
                                              </w:divBdr>
                                              <w:divsChild>
                                                <w:div w:id="1771926909">
                                                  <w:marLeft w:val="0"/>
                                                  <w:marRight w:val="0"/>
                                                  <w:marTop w:val="0"/>
                                                  <w:marBottom w:val="0"/>
                                                  <w:divBdr>
                                                    <w:top w:val="none" w:sz="0" w:space="0" w:color="auto"/>
                                                    <w:left w:val="none" w:sz="0" w:space="0" w:color="auto"/>
                                                    <w:bottom w:val="none" w:sz="0" w:space="0" w:color="auto"/>
                                                    <w:right w:val="none" w:sz="0" w:space="0" w:color="auto"/>
                                                  </w:divBdr>
                                                  <w:divsChild>
                                                    <w:div w:id="1908492132">
                                                      <w:marLeft w:val="20"/>
                                                      <w:marRight w:val="25"/>
                                                      <w:marTop w:val="0"/>
                                                      <w:marBottom w:val="0"/>
                                                      <w:divBdr>
                                                        <w:top w:val="single" w:sz="24" w:space="11" w:color="CCCCCC"/>
                                                        <w:left w:val="none" w:sz="0" w:space="0" w:color="auto"/>
                                                        <w:bottom w:val="none" w:sz="0" w:space="0" w:color="auto"/>
                                                        <w:right w:val="none" w:sz="0" w:space="0" w:color="auto"/>
                                                      </w:divBdr>
                                                      <w:divsChild>
                                                        <w:div w:id="2052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6688">
      <w:bodyDiv w:val="1"/>
      <w:marLeft w:val="0"/>
      <w:marRight w:val="0"/>
      <w:marTop w:val="0"/>
      <w:marBottom w:val="0"/>
      <w:divBdr>
        <w:top w:val="none" w:sz="0" w:space="0" w:color="auto"/>
        <w:left w:val="none" w:sz="0" w:space="0" w:color="auto"/>
        <w:bottom w:val="none" w:sz="0" w:space="0" w:color="auto"/>
        <w:right w:val="none" w:sz="0" w:space="0" w:color="auto"/>
      </w:divBdr>
      <w:divsChild>
        <w:div w:id="1349985920">
          <w:marLeft w:val="0"/>
          <w:marRight w:val="0"/>
          <w:marTop w:val="0"/>
          <w:marBottom w:val="0"/>
          <w:divBdr>
            <w:top w:val="none" w:sz="0" w:space="0" w:color="auto"/>
            <w:left w:val="none" w:sz="0" w:space="0" w:color="auto"/>
            <w:bottom w:val="none" w:sz="0" w:space="0" w:color="auto"/>
            <w:right w:val="none" w:sz="0" w:space="0" w:color="auto"/>
          </w:divBdr>
        </w:div>
        <w:div w:id="2014409365">
          <w:marLeft w:val="0"/>
          <w:marRight w:val="0"/>
          <w:marTop w:val="0"/>
          <w:marBottom w:val="0"/>
          <w:divBdr>
            <w:top w:val="none" w:sz="0" w:space="0" w:color="auto"/>
            <w:left w:val="none" w:sz="0" w:space="0" w:color="auto"/>
            <w:bottom w:val="none" w:sz="0" w:space="0" w:color="auto"/>
            <w:right w:val="none" w:sz="0" w:space="0" w:color="auto"/>
          </w:divBdr>
        </w:div>
      </w:divsChild>
    </w:div>
    <w:div w:id="1510560030">
      <w:bodyDiv w:val="1"/>
      <w:marLeft w:val="0"/>
      <w:marRight w:val="0"/>
      <w:marTop w:val="0"/>
      <w:marBottom w:val="0"/>
      <w:divBdr>
        <w:top w:val="none" w:sz="0" w:space="0" w:color="auto"/>
        <w:left w:val="none" w:sz="0" w:space="0" w:color="auto"/>
        <w:bottom w:val="none" w:sz="0" w:space="0" w:color="auto"/>
        <w:right w:val="none" w:sz="0" w:space="0" w:color="auto"/>
      </w:divBdr>
      <w:divsChild>
        <w:div w:id="369496277">
          <w:marLeft w:val="0"/>
          <w:marRight w:val="0"/>
          <w:marTop w:val="100"/>
          <w:marBottom w:val="10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300266090">
                  <w:marLeft w:val="-6000"/>
                  <w:marRight w:val="0"/>
                  <w:marTop w:val="0"/>
                  <w:marBottom w:val="0"/>
                  <w:divBdr>
                    <w:top w:val="none" w:sz="0" w:space="0" w:color="auto"/>
                    <w:left w:val="none" w:sz="0" w:space="0" w:color="auto"/>
                    <w:bottom w:val="none" w:sz="0" w:space="0" w:color="auto"/>
                    <w:right w:val="none" w:sz="0" w:space="0" w:color="auto"/>
                  </w:divBdr>
                  <w:divsChild>
                    <w:div w:id="892428884">
                      <w:marLeft w:val="0"/>
                      <w:marRight w:val="0"/>
                      <w:marTop w:val="0"/>
                      <w:marBottom w:val="0"/>
                      <w:divBdr>
                        <w:top w:val="none" w:sz="0" w:space="0" w:color="auto"/>
                        <w:left w:val="none" w:sz="0" w:space="0" w:color="auto"/>
                        <w:bottom w:val="none" w:sz="0" w:space="0" w:color="auto"/>
                        <w:right w:val="none" w:sz="0" w:space="0" w:color="auto"/>
                      </w:divBdr>
                      <w:divsChild>
                        <w:div w:id="1304584700">
                          <w:marLeft w:val="1"/>
                          <w:marRight w:val="0"/>
                          <w:marTop w:val="0"/>
                          <w:marBottom w:val="0"/>
                          <w:divBdr>
                            <w:top w:val="none" w:sz="0" w:space="0" w:color="auto"/>
                            <w:left w:val="none" w:sz="0" w:space="0" w:color="auto"/>
                            <w:bottom w:val="none" w:sz="0" w:space="0" w:color="auto"/>
                            <w:right w:val="none" w:sz="0" w:space="0" w:color="auto"/>
                          </w:divBdr>
                          <w:divsChild>
                            <w:div w:id="19236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7311">
      <w:bodyDiv w:val="1"/>
      <w:marLeft w:val="0"/>
      <w:marRight w:val="0"/>
      <w:marTop w:val="0"/>
      <w:marBottom w:val="0"/>
      <w:divBdr>
        <w:top w:val="none" w:sz="0" w:space="0" w:color="auto"/>
        <w:left w:val="none" w:sz="0" w:space="0" w:color="auto"/>
        <w:bottom w:val="none" w:sz="0" w:space="0" w:color="auto"/>
        <w:right w:val="none" w:sz="0" w:space="0" w:color="auto"/>
      </w:divBdr>
    </w:div>
    <w:div w:id="1673869015">
      <w:bodyDiv w:val="1"/>
      <w:marLeft w:val="0"/>
      <w:marRight w:val="0"/>
      <w:marTop w:val="0"/>
      <w:marBottom w:val="0"/>
      <w:divBdr>
        <w:top w:val="none" w:sz="0" w:space="0" w:color="auto"/>
        <w:left w:val="none" w:sz="0" w:space="0" w:color="auto"/>
        <w:bottom w:val="none" w:sz="0" w:space="0" w:color="auto"/>
        <w:right w:val="none" w:sz="0" w:space="0" w:color="auto"/>
      </w:divBdr>
      <w:divsChild>
        <w:div w:id="774599927">
          <w:marLeft w:val="0"/>
          <w:marRight w:val="0"/>
          <w:marTop w:val="0"/>
          <w:marBottom w:val="0"/>
          <w:divBdr>
            <w:top w:val="none" w:sz="0" w:space="0" w:color="auto"/>
            <w:left w:val="none" w:sz="0" w:space="0" w:color="auto"/>
            <w:bottom w:val="none" w:sz="0" w:space="0" w:color="auto"/>
            <w:right w:val="none" w:sz="0" w:space="0" w:color="auto"/>
          </w:divBdr>
          <w:divsChild>
            <w:div w:id="1190218902">
              <w:marLeft w:val="0"/>
              <w:marRight w:val="0"/>
              <w:marTop w:val="0"/>
              <w:marBottom w:val="0"/>
              <w:divBdr>
                <w:top w:val="none" w:sz="0" w:space="0" w:color="auto"/>
                <w:left w:val="none" w:sz="0" w:space="0" w:color="auto"/>
                <w:bottom w:val="none" w:sz="0" w:space="0" w:color="auto"/>
                <w:right w:val="none" w:sz="0" w:space="0" w:color="auto"/>
              </w:divBdr>
              <w:divsChild>
                <w:div w:id="1040664990">
                  <w:marLeft w:val="0"/>
                  <w:marRight w:val="0"/>
                  <w:marTop w:val="0"/>
                  <w:marBottom w:val="0"/>
                  <w:divBdr>
                    <w:top w:val="none" w:sz="0" w:space="0" w:color="auto"/>
                    <w:left w:val="none" w:sz="0" w:space="0" w:color="auto"/>
                    <w:bottom w:val="none" w:sz="0" w:space="0" w:color="auto"/>
                    <w:right w:val="none" w:sz="0" w:space="0" w:color="auto"/>
                  </w:divBdr>
                  <w:divsChild>
                    <w:div w:id="927614999">
                      <w:marLeft w:val="0"/>
                      <w:marRight w:val="0"/>
                      <w:marTop w:val="0"/>
                      <w:marBottom w:val="0"/>
                      <w:divBdr>
                        <w:top w:val="none" w:sz="0" w:space="0" w:color="auto"/>
                        <w:left w:val="none" w:sz="0" w:space="0" w:color="auto"/>
                        <w:bottom w:val="none" w:sz="0" w:space="0" w:color="auto"/>
                        <w:right w:val="none" w:sz="0" w:space="0" w:color="auto"/>
                      </w:divBdr>
                      <w:divsChild>
                        <w:div w:id="2049911379">
                          <w:marLeft w:val="0"/>
                          <w:marRight w:val="0"/>
                          <w:marTop w:val="0"/>
                          <w:marBottom w:val="0"/>
                          <w:divBdr>
                            <w:top w:val="none" w:sz="0" w:space="0" w:color="auto"/>
                            <w:left w:val="none" w:sz="0" w:space="0" w:color="auto"/>
                            <w:bottom w:val="none" w:sz="0" w:space="0" w:color="auto"/>
                            <w:right w:val="none" w:sz="0" w:space="0" w:color="auto"/>
                          </w:divBdr>
                          <w:divsChild>
                            <w:div w:id="672148820">
                              <w:marLeft w:val="0"/>
                              <w:marRight w:val="0"/>
                              <w:marTop w:val="0"/>
                              <w:marBottom w:val="0"/>
                              <w:divBdr>
                                <w:top w:val="none" w:sz="0" w:space="0" w:color="auto"/>
                                <w:left w:val="none" w:sz="0" w:space="0" w:color="auto"/>
                                <w:bottom w:val="none" w:sz="0" w:space="0" w:color="auto"/>
                                <w:right w:val="none" w:sz="0" w:space="0" w:color="auto"/>
                              </w:divBdr>
                              <w:divsChild>
                                <w:div w:id="1323580041">
                                  <w:marLeft w:val="0"/>
                                  <w:marRight w:val="0"/>
                                  <w:marTop w:val="0"/>
                                  <w:marBottom w:val="0"/>
                                  <w:divBdr>
                                    <w:top w:val="none" w:sz="0" w:space="0" w:color="auto"/>
                                    <w:left w:val="none" w:sz="0" w:space="0" w:color="auto"/>
                                    <w:bottom w:val="none" w:sz="0" w:space="0" w:color="auto"/>
                                    <w:right w:val="none" w:sz="0" w:space="0" w:color="auto"/>
                                  </w:divBdr>
                                  <w:divsChild>
                                    <w:div w:id="1635408194">
                                      <w:marLeft w:val="0"/>
                                      <w:marRight w:val="0"/>
                                      <w:marTop w:val="0"/>
                                      <w:marBottom w:val="0"/>
                                      <w:divBdr>
                                        <w:top w:val="none" w:sz="0" w:space="0" w:color="auto"/>
                                        <w:left w:val="none" w:sz="0" w:space="0" w:color="auto"/>
                                        <w:bottom w:val="none" w:sz="0" w:space="0" w:color="auto"/>
                                        <w:right w:val="none" w:sz="0" w:space="0" w:color="auto"/>
                                      </w:divBdr>
                                      <w:divsChild>
                                        <w:div w:id="1965186767">
                                          <w:marLeft w:val="0"/>
                                          <w:marRight w:val="0"/>
                                          <w:marTop w:val="0"/>
                                          <w:marBottom w:val="0"/>
                                          <w:divBdr>
                                            <w:top w:val="none" w:sz="0" w:space="0" w:color="auto"/>
                                            <w:left w:val="none" w:sz="0" w:space="0" w:color="auto"/>
                                            <w:bottom w:val="none" w:sz="0" w:space="0" w:color="auto"/>
                                            <w:right w:val="none" w:sz="0" w:space="0" w:color="auto"/>
                                          </w:divBdr>
                                          <w:divsChild>
                                            <w:div w:id="19126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47388">
      <w:bodyDiv w:val="1"/>
      <w:marLeft w:val="0"/>
      <w:marRight w:val="0"/>
      <w:marTop w:val="0"/>
      <w:marBottom w:val="0"/>
      <w:divBdr>
        <w:top w:val="none" w:sz="0" w:space="0" w:color="auto"/>
        <w:left w:val="none" w:sz="0" w:space="0" w:color="auto"/>
        <w:bottom w:val="none" w:sz="0" w:space="0" w:color="auto"/>
        <w:right w:val="none" w:sz="0" w:space="0" w:color="auto"/>
      </w:divBdr>
      <w:divsChild>
        <w:div w:id="1428306210">
          <w:marLeft w:val="0"/>
          <w:marRight w:val="0"/>
          <w:marTop w:val="0"/>
          <w:marBottom w:val="0"/>
          <w:divBdr>
            <w:top w:val="none" w:sz="0" w:space="0" w:color="auto"/>
            <w:left w:val="none" w:sz="0" w:space="0" w:color="auto"/>
            <w:bottom w:val="none" w:sz="0" w:space="0" w:color="auto"/>
            <w:right w:val="none" w:sz="0" w:space="0" w:color="auto"/>
          </w:divBdr>
          <w:divsChild>
            <w:div w:id="1659455639">
              <w:marLeft w:val="0"/>
              <w:marRight w:val="0"/>
              <w:marTop w:val="0"/>
              <w:marBottom w:val="0"/>
              <w:divBdr>
                <w:top w:val="none" w:sz="0" w:space="0" w:color="auto"/>
                <w:left w:val="none" w:sz="0" w:space="0" w:color="auto"/>
                <w:bottom w:val="none" w:sz="0" w:space="0" w:color="auto"/>
                <w:right w:val="none" w:sz="0" w:space="0" w:color="auto"/>
              </w:divBdr>
              <w:divsChild>
                <w:div w:id="1942492614">
                  <w:marLeft w:val="120"/>
                  <w:marRight w:val="0"/>
                  <w:marTop w:val="0"/>
                  <w:marBottom w:val="0"/>
                  <w:divBdr>
                    <w:top w:val="none" w:sz="0" w:space="0" w:color="auto"/>
                    <w:left w:val="none" w:sz="0" w:space="0" w:color="auto"/>
                    <w:bottom w:val="none" w:sz="0" w:space="0" w:color="auto"/>
                    <w:right w:val="none" w:sz="0" w:space="0" w:color="auto"/>
                  </w:divBdr>
                  <w:divsChild>
                    <w:div w:id="631791165">
                      <w:marLeft w:val="0"/>
                      <w:marRight w:val="0"/>
                      <w:marTop w:val="0"/>
                      <w:marBottom w:val="0"/>
                      <w:divBdr>
                        <w:top w:val="none" w:sz="0" w:space="0" w:color="auto"/>
                        <w:left w:val="none" w:sz="0" w:space="0" w:color="auto"/>
                        <w:bottom w:val="none" w:sz="0" w:space="0" w:color="auto"/>
                        <w:right w:val="none" w:sz="0" w:space="0" w:color="auto"/>
                      </w:divBdr>
                      <w:divsChild>
                        <w:div w:id="11533274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27744">
      <w:bodyDiv w:val="1"/>
      <w:marLeft w:val="0"/>
      <w:marRight w:val="0"/>
      <w:marTop w:val="0"/>
      <w:marBottom w:val="0"/>
      <w:divBdr>
        <w:top w:val="none" w:sz="0" w:space="0" w:color="auto"/>
        <w:left w:val="none" w:sz="0" w:space="0" w:color="auto"/>
        <w:bottom w:val="none" w:sz="0" w:space="0" w:color="auto"/>
        <w:right w:val="none" w:sz="0" w:space="0" w:color="auto"/>
      </w:divBdr>
    </w:div>
    <w:div w:id="18234279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386">
          <w:marLeft w:val="0"/>
          <w:marRight w:val="0"/>
          <w:marTop w:val="0"/>
          <w:marBottom w:val="0"/>
          <w:divBdr>
            <w:top w:val="none" w:sz="0" w:space="0" w:color="auto"/>
            <w:left w:val="none" w:sz="0" w:space="0" w:color="auto"/>
            <w:bottom w:val="none" w:sz="0" w:space="0" w:color="auto"/>
            <w:right w:val="none" w:sz="0" w:space="0" w:color="auto"/>
          </w:divBdr>
          <w:divsChild>
            <w:div w:id="361977999">
              <w:marLeft w:val="0"/>
              <w:marRight w:val="0"/>
              <w:marTop w:val="0"/>
              <w:marBottom w:val="0"/>
              <w:divBdr>
                <w:top w:val="none" w:sz="0" w:space="0" w:color="auto"/>
                <w:left w:val="none" w:sz="0" w:space="0" w:color="auto"/>
                <w:bottom w:val="none" w:sz="0" w:space="0" w:color="auto"/>
                <w:right w:val="none" w:sz="0" w:space="0" w:color="auto"/>
              </w:divBdr>
              <w:divsChild>
                <w:div w:id="1544977725">
                  <w:marLeft w:val="0"/>
                  <w:marRight w:val="0"/>
                  <w:marTop w:val="0"/>
                  <w:marBottom w:val="0"/>
                  <w:divBdr>
                    <w:top w:val="none" w:sz="0" w:space="0" w:color="auto"/>
                    <w:left w:val="none" w:sz="0" w:space="0" w:color="auto"/>
                    <w:bottom w:val="none" w:sz="0" w:space="0" w:color="auto"/>
                    <w:right w:val="none" w:sz="0" w:space="0" w:color="auto"/>
                  </w:divBdr>
                  <w:divsChild>
                    <w:div w:id="171998579">
                      <w:marLeft w:val="0"/>
                      <w:marRight w:val="0"/>
                      <w:marTop w:val="0"/>
                      <w:marBottom w:val="0"/>
                      <w:divBdr>
                        <w:top w:val="none" w:sz="0" w:space="0" w:color="auto"/>
                        <w:left w:val="none" w:sz="0" w:space="0" w:color="auto"/>
                        <w:bottom w:val="none" w:sz="0" w:space="0" w:color="auto"/>
                        <w:right w:val="none" w:sz="0" w:space="0" w:color="auto"/>
                      </w:divBdr>
                    </w:div>
                    <w:div w:id="209536287">
                      <w:marLeft w:val="0"/>
                      <w:marRight w:val="0"/>
                      <w:marTop w:val="0"/>
                      <w:marBottom w:val="0"/>
                      <w:divBdr>
                        <w:top w:val="none" w:sz="0" w:space="0" w:color="auto"/>
                        <w:left w:val="none" w:sz="0" w:space="0" w:color="auto"/>
                        <w:bottom w:val="none" w:sz="0" w:space="0" w:color="auto"/>
                        <w:right w:val="none" w:sz="0" w:space="0" w:color="auto"/>
                      </w:divBdr>
                    </w:div>
                    <w:div w:id="214196719">
                      <w:marLeft w:val="0"/>
                      <w:marRight w:val="0"/>
                      <w:marTop w:val="0"/>
                      <w:marBottom w:val="0"/>
                      <w:divBdr>
                        <w:top w:val="none" w:sz="0" w:space="0" w:color="auto"/>
                        <w:left w:val="none" w:sz="0" w:space="0" w:color="auto"/>
                        <w:bottom w:val="none" w:sz="0" w:space="0" w:color="auto"/>
                        <w:right w:val="none" w:sz="0" w:space="0" w:color="auto"/>
                      </w:divBdr>
                    </w:div>
                    <w:div w:id="461266802">
                      <w:marLeft w:val="0"/>
                      <w:marRight w:val="0"/>
                      <w:marTop w:val="0"/>
                      <w:marBottom w:val="0"/>
                      <w:divBdr>
                        <w:top w:val="none" w:sz="0" w:space="0" w:color="auto"/>
                        <w:left w:val="none" w:sz="0" w:space="0" w:color="auto"/>
                        <w:bottom w:val="none" w:sz="0" w:space="0" w:color="auto"/>
                        <w:right w:val="none" w:sz="0" w:space="0" w:color="auto"/>
                      </w:divBdr>
                    </w:div>
                    <w:div w:id="472603927">
                      <w:marLeft w:val="0"/>
                      <w:marRight w:val="0"/>
                      <w:marTop w:val="0"/>
                      <w:marBottom w:val="0"/>
                      <w:divBdr>
                        <w:top w:val="none" w:sz="0" w:space="0" w:color="auto"/>
                        <w:left w:val="none" w:sz="0" w:space="0" w:color="auto"/>
                        <w:bottom w:val="none" w:sz="0" w:space="0" w:color="auto"/>
                        <w:right w:val="none" w:sz="0" w:space="0" w:color="auto"/>
                      </w:divBdr>
                    </w:div>
                    <w:div w:id="554897378">
                      <w:marLeft w:val="0"/>
                      <w:marRight w:val="0"/>
                      <w:marTop w:val="0"/>
                      <w:marBottom w:val="0"/>
                      <w:divBdr>
                        <w:top w:val="none" w:sz="0" w:space="0" w:color="auto"/>
                        <w:left w:val="none" w:sz="0" w:space="0" w:color="auto"/>
                        <w:bottom w:val="none" w:sz="0" w:space="0" w:color="auto"/>
                        <w:right w:val="none" w:sz="0" w:space="0" w:color="auto"/>
                      </w:divBdr>
                    </w:div>
                    <w:div w:id="649482338">
                      <w:marLeft w:val="0"/>
                      <w:marRight w:val="0"/>
                      <w:marTop w:val="0"/>
                      <w:marBottom w:val="0"/>
                      <w:divBdr>
                        <w:top w:val="none" w:sz="0" w:space="0" w:color="auto"/>
                        <w:left w:val="none" w:sz="0" w:space="0" w:color="auto"/>
                        <w:bottom w:val="none" w:sz="0" w:space="0" w:color="auto"/>
                        <w:right w:val="none" w:sz="0" w:space="0" w:color="auto"/>
                      </w:divBdr>
                    </w:div>
                    <w:div w:id="704332434">
                      <w:marLeft w:val="0"/>
                      <w:marRight w:val="0"/>
                      <w:marTop w:val="0"/>
                      <w:marBottom w:val="0"/>
                      <w:divBdr>
                        <w:top w:val="none" w:sz="0" w:space="0" w:color="auto"/>
                        <w:left w:val="none" w:sz="0" w:space="0" w:color="auto"/>
                        <w:bottom w:val="none" w:sz="0" w:space="0" w:color="auto"/>
                        <w:right w:val="none" w:sz="0" w:space="0" w:color="auto"/>
                      </w:divBdr>
                    </w:div>
                    <w:div w:id="750275091">
                      <w:marLeft w:val="0"/>
                      <w:marRight w:val="0"/>
                      <w:marTop w:val="0"/>
                      <w:marBottom w:val="0"/>
                      <w:divBdr>
                        <w:top w:val="none" w:sz="0" w:space="0" w:color="auto"/>
                        <w:left w:val="none" w:sz="0" w:space="0" w:color="auto"/>
                        <w:bottom w:val="none" w:sz="0" w:space="0" w:color="auto"/>
                        <w:right w:val="none" w:sz="0" w:space="0" w:color="auto"/>
                      </w:divBdr>
                    </w:div>
                    <w:div w:id="759133921">
                      <w:marLeft w:val="0"/>
                      <w:marRight w:val="0"/>
                      <w:marTop w:val="0"/>
                      <w:marBottom w:val="0"/>
                      <w:divBdr>
                        <w:top w:val="none" w:sz="0" w:space="0" w:color="auto"/>
                        <w:left w:val="none" w:sz="0" w:space="0" w:color="auto"/>
                        <w:bottom w:val="none" w:sz="0" w:space="0" w:color="auto"/>
                        <w:right w:val="none" w:sz="0" w:space="0" w:color="auto"/>
                      </w:divBdr>
                    </w:div>
                    <w:div w:id="788666557">
                      <w:marLeft w:val="0"/>
                      <w:marRight w:val="0"/>
                      <w:marTop w:val="0"/>
                      <w:marBottom w:val="0"/>
                      <w:divBdr>
                        <w:top w:val="none" w:sz="0" w:space="0" w:color="auto"/>
                        <w:left w:val="none" w:sz="0" w:space="0" w:color="auto"/>
                        <w:bottom w:val="none" w:sz="0" w:space="0" w:color="auto"/>
                        <w:right w:val="none" w:sz="0" w:space="0" w:color="auto"/>
                      </w:divBdr>
                    </w:div>
                    <w:div w:id="798114008">
                      <w:marLeft w:val="0"/>
                      <w:marRight w:val="0"/>
                      <w:marTop w:val="0"/>
                      <w:marBottom w:val="0"/>
                      <w:divBdr>
                        <w:top w:val="none" w:sz="0" w:space="0" w:color="auto"/>
                        <w:left w:val="none" w:sz="0" w:space="0" w:color="auto"/>
                        <w:bottom w:val="none" w:sz="0" w:space="0" w:color="auto"/>
                        <w:right w:val="none" w:sz="0" w:space="0" w:color="auto"/>
                      </w:divBdr>
                    </w:div>
                    <w:div w:id="805663712">
                      <w:marLeft w:val="0"/>
                      <w:marRight w:val="0"/>
                      <w:marTop w:val="0"/>
                      <w:marBottom w:val="0"/>
                      <w:divBdr>
                        <w:top w:val="none" w:sz="0" w:space="0" w:color="auto"/>
                        <w:left w:val="none" w:sz="0" w:space="0" w:color="auto"/>
                        <w:bottom w:val="none" w:sz="0" w:space="0" w:color="auto"/>
                        <w:right w:val="none" w:sz="0" w:space="0" w:color="auto"/>
                      </w:divBdr>
                    </w:div>
                    <w:div w:id="834614924">
                      <w:marLeft w:val="0"/>
                      <w:marRight w:val="0"/>
                      <w:marTop w:val="0"/>
                      <w:marBottom w:val="0"/>
                      <w:divBdr>
                        <w:top w:val="none" w:sz="0" w:space="0" w:color="auto"/>
                        <w:left w:val="none" w:sz="0" w:space="0" w:color="auto"/>
                        <w:bottom w:val="none" w:sz="0" w:space="0" w:color="auto"/>
                        <w:right w:val="none" w:sz="0" w:space="0" w:color="auto"/>
                      </w:divBdr>
                    </w:div>
                    <w:div w:id="839077028">
                      <w:marLeft w:val="0"/>
                      <w:marRight w:val="0"/>
                      <w:marTop w:val="0"/>
                      <w:marBottom w:val="0"/>
                      <w:divBdr>
                        <w:top w:val="none" w:sz="0" w:space="0" w:color="auto"/>
                        <w:left w:val="none" w:sz="0" w:space="0" w:color="auto"/>
                        <w:bottom w:val="none" w:sz="0" w:space="0" w:color="auto"/>
                        <w:right w:val="none" w:sz="0" w:space="0" w:color="auto"/>
                      </w:divBdr>
                    </w:div>
                    <w:div w:id="854804008">
                      <w:marLeft w:val="0"/>
                      <w:marRight w:val="0"/>
                      <w:marTop w:val="0"/>
                      <w:marBottom w:val="0"/>
                      <w:divBdr>
                        <w:top w:val="none" w:sz="0" w:space="0" w:color="auto"/>
                        <w:left w:val="none" w:sz="0" w:space="0" w:color="auto"/>
                        <w:bottom w:val="none" w:sz="0" w:space="0" w:color="auto"/>
                        <w:right w:val="none" w:sz="0" w:space="0" w:color="auto"/>
                      </w:divBdr>
                    </w:div>
                    <w:div w:id="927271564">
                      <w:marLeft w:val="0"/>
                      <w:marRight w:val="0"/>
                      <w:marTop w:val="0"/>
                      <w:marBottom w:val="0"/>
                      <w:divBdr>
                        <w:top w:val="none" w:sz="0" w:space="0" w:color="auto"/>
                        <w:left w:val="none" w:sz="0" w:space="0" w:color="auto"/>
                        <w:bottom w:val="none" w:sz="0" w:space="0" w:color="auto"/>
                        <w:right w:val="none" w:sz="0" w:space="0" w:color="auto"/>
                      </w:divBdr>
                    </w:div>
                    <w:div w:id="969634259">
                      <w:marLeft w:val="0"/>
                      <w:marRight w:val="0"/>
                      <w:marTop w:val="0"/>
                      <w:marBottom w:val="0"/>
                      <w:divBdr>
                        <w:top w:val="none" w:sz="0" w:space="0" w:color="auto"/>
                        <w:left w:val="none" w:sz="0" w:space="0" w:color="auto"/>
                        <w:bottom w:val="none" w:sz="0" w:space="0" w:color="auto"/>
                        <w:right w:val="none" w:sz="0" w:space="0" w:color="auto"/>
                      </w:divBdr>
                    </w:div>
                    <w:div w:id="1008865837">
                      <w:marLeft w:val="0"/>
                      <w:marRight w:val="0"/>
                      <w:marTop w:val="0"/>
                      <w:marBottom w:val="0"/>
                      <w:divBdr>
                        <w:top w:val="none" w:sz="0" w:space="0" w:color="auto"/>
                        <w:left w:val="none" w:sz="0" w:space="0" w:color="auto"/>
                        <w:bottom w:val="none" w:sz="0" w:space="0" w:color="auto"/>
                        <w:right w:val="none" w:sz="0" w:space="0" w:color="auto"/>
                      </w:divBdr>
                    </w:div>
                    <w:div w:id="1009989257">
                      <w:marLeft w:val="0"/>
                      <w:marRight w:val="0"/>
                      <w:marTop w:val="0"/>
                      <w:marBottom w:val="0"/>
                      <w:divBdr>
                        <w:top w:val="none" w:sz="0" w:space="0" w:color="auto"/>
                        <w:left w:val="none" w:sz="0" w:space="0" w:color="auto"/>
                        <w:bottom w:val="none" w:sz="0" w:space="0" w:color="auto"/>
                        <w:right w:val="none" w:sz="0" w:space="0" w:color="auto"/>
                      </w:divBdr>
                    </w:div>
                    <w:div w:id="1017076930">
                      <w:marLeft w:val="0"/>
                      <w:marRight w:val="0"/>
                      <w:marTop w:val="0"/>
                      <w:marBottom w:val="0"/>
                      <w:divBdr>
                        <w:top w:val="none" w:sz="0" w:space="0" w:color="auto"/>
                        <w:left w:val="none" w:sz="0" w:space="0" w:color="auto"/>
                        <w:bottom w:val="none" w:sz="0" w:space="0" w:color="auto"/>
                        <w:right w:val="none" w:sz="0" w:space="0" w:color="auto"/>
                      </w:divBdr>
                    </w:div>
                    <w:div w:id="1034037472">
                      <w:marLeft w:val="0"/>
                      <w:marRight w:val="0"/>
                      <w:marTop w:val="0"/>
                      <w:marBottom w:val="0"/>
                      <w:divBdr>
                        <w:top w:val="none" w:sz="0" w:space="0" w:color="auto"/>
                        <w:left w:val="none" w:sz="0" w:space="0" w:color="auto"/>
                        <w:bottom w:val="none" w:sz="0" w:space="0" w:color="auto"/>
                        <w:right w:val="none" w:sz="0" w:space="0" w:color="auto"/>
                      </w:divBdr>
                    </w:div>
                    <w:div w:id="1042048582">
                      <w:marLeft w:val="0"/>
                      <w:marRight w:val="0"/>
                      <w:marTop w:val="0"/>
                      <w:marBottom w:val="0"/>
                      <w:divBdr>
                        <w:top w:val="none" w:sz="0" w:space="0" w:color="auto"/>
                        <w:left w:val="none" w:sz="0" w:space="0" w:color="auto"/>
                        <w:bottom w:val="none" w:sz="0" w:space="0" w:color="auto"/>
                        <w:right w:val="none" w:sz="0" w:space="0" w:color="auto"/>
                      </w:divBdr>
                    </w:div>
                    <w:div w:id="1088036386">
                      <w:marLeft w:val="0"/>
                      <w:marRight w:val="0"/>
                      <w:marTop w:val="0"/>
                      <w:marBottom w:val="0"/>
                      <w:divBdr>
                        <w:top w:val="none" w:sz="0" w:space="0" w:color="auto"/>
                        <w:left w:val="none" w:sz="0" w:space="0" w:color="auto"/>
                        <w:bottom w:val="none" w:sz="0" w:space="0" w:color="auto"/>
                        <w:right w:val="none" w:sz="0" w:space="0" w:color="auto"/>
                      </w:divBdr>
                    </w:div>
                    <w:div w:id="1136990422">
                      <w:marLeft w:val="0"/>
                      <w:marRight w:val="0"/>
                      <w:marTop w:val="0"/>
                      <w:marBottom w:val="0"/>
                      <w:divBdr>
                        <w:top w:val="none" w:sz="0" w:space="0" w:color="auto"/>
                        <w:left w:val="none" w:sz="0" w:space="0" w:color="auto"/>
                        <w:bottom w:val="none" w:sz="0" w:space="0" w:color="auto"/>
                        <w:right w:val="none" w:sz="0" w:space="0" w:color="auto"/>
                      </w:divBdr>
                    </w:div>
                    <w:div w:id="1142187028">
                      <w:marLeft w:val="0"/>
                      <w:marRight w:val="0"/>
                      <w:marTop w:val="0"/>
                      <w:marBottom w:val="0"/>
                      <w:divBdr>
                        <w:top w:val="none" w:sz="0" w:space="0" w:color="auto"/>
                        <w:left w:val="none" w:sz="0" w:space="0" w:color="auto"/>
                        <w:bottom w:val="none" w:sz="0" w:space="0" w:color="auto"/>
                        <w:right w:val="none" w:sz="0" w:space="0" w:color="auto"/>
                      </w:divBdr>
                    </w:div>
                    <w:div w:id="1159152479">
                      <w:marLeft w:val="0"/>
                      <w:marRight w:val="0"/>
                      <w:marTop w:val="0"/>
                      <w:marBottom w:val="0"/>
                      <w:divBdr>
                        <w:top w:val="none" w:sz="0" w:space="0" w:color="auto"/>
                        <w:left w:val="none" w:sz="0" w:space="0" w:color="auto"/>
                        <w:bottom w:val="none" w:sz="0" w:space="0" w:color="auto"/>
                        <w:right w:val="none" w:sz="0" w:space="0" w:color="auto"/>
                      </w:divBdr>
                    </w:div>
                    <w:div w:id="1204053414">
                      <w:marLeft w:val="0"/>
                      <w:marRight w:val="0"/>
                      <w:marTop w:val="0"/>
                      <w:marBottom w:val="0"/>
                      <w:divBdr>
                        <w:top w:val="none" w:sz="0" w:space="0" w:color="auto"/>
                        <w:left w:val="none" w:sz="0" w:space="0" w:color="auto"/>
                        <w:bottom w:val="none" w:sz="0" w:space="0" w:color="auto"/>
                        <w:right w:val="none" w:sz="0" w:space="0" w:color="auto"/>
                      </w:divBdr>
                    </w:div>
                    <w:div w:id="1212351980">
                      <w:marLeft w:val="0"/>
                      <w:marRight w:val="0"/>
                      <w:marTop w:val="0"/>
                      <w:marBottom w:val="0"/>
                      <w:divBdr>
                        <w:top w:val="none" w:sz="0" w:space="0" w:color="auto"/>
                        <w:left w:val="none" w:sz="0" w:space="0" w:color="auto"/>
                        <w:bottom w:val="none" w:sz="0" w:space="0" w:color="auto"/>
                        <w:right w:val="none" w:sz="0" w:space="0" w:color="auto"/>
                      </w:divBdr>
                    </w:div>
                    <w:div w:id="1265114196">
                      <w:marLeft w:val="0"/>
                      <w:marRight w:val="0"/>
                      <w:marTop w:val="0"/>
                      <w:marBottom w:val="0"/>
                      <w:divBdr>
                        <w:top w:val="none" w:sz="0" w:space="0" w:color="auto"/>
                        <w:left w:val="none" w:sz="0" w:space="0" w:color="auto"/>
                        <w:bottom w:val="none" w:sz="0" w:space="0" w:color="auto"/>
                        <w:right w:val="none" w:sz="0" w:space="0" w:color="auto"/>
                      </w:divBdr>
                    </w:div>
                    <w:div w:id="1307779629">
                      <w:marLeft w:val="0"/>
                      <w:marRight w:val="0"/>
                      <w:marTop w:val="0"/>
                      <w:marBottom w:val="0"/>
                      <w:divBdr>
                        <w:top w:val="none" w:sz="0" w:space="0" w:color="auto"/>
                        <w:left w:val="none" w:sz="0" w:space="0" w:color="auto"/>
                        <w:bottom w:val="none" w:sz="0" w:space="0" w:color="auto"/>
                        <w:right w:val="none" w:sz="0" w:space="0" w:color="auto"/>
                      </w:divBdr>
                    </w:div>
                    <w:div w:id="1344670489">
                      <w:marLeft w:val="0"/>
                      <w:marRight w:val="0"/>
                      <w:marTop w:val="0"/>
                      <w:marBottom w:val="0"/>
                      <w:divBdr>
                        <w:top w:val="none" w:sz="0" w:space="0" w:color="auto"/>
                        <w:left w:val="none" w:sz="0" w:space="0" w:color="auto"/>
                        <w:bottom w:val="none" w:sz="0" w:space="0" w:color="auto"/>
                        <w:right w:val="none" w:sz="0" w:space="0" w:color="auto"/>
                      </w:divBdr>
                    </w:div>
                    <w:div w:id="1355036445">
                      <w:marLeft w:val="0"/>
                      <w:marRight w:val="0"/>
                      <w:marTop w:val="0"/>
                      <w:marBottom w:val="0"/>
                      <w:divBdr>
                        <w:top w:val="none" w:sz="0" w:space="0" w:color="auto"/>
                        <w:left w:val="none" w:sz="0" w:space="0" w:color="auto"/>
                        <w:bottom w:val="none" w:sz="0" w:space="0" w:color="auto"/>
                        <w:right w:val="none" w:sz="0" w:space="0" w:color="auto"/>
                      </w:divBdr>
                    </w:div>
                    <w:div w:id="1356685847">
                      <w:marLeft w:val="0"/>
                      <w:marRight w:val="0"/>
                      <w:marTop w:val="0"/>
                      <w:marBottom w:val="0"/>
                      <w:divBdr>
                        <w:top w:val="none" w:sz="0" w:space="0" w:color="auto"/>
                        <w:left w:val="none" w:sz="0" w:space="0" w:color="auto"/>
                        <w:bottom w:val="none" w:sz="0" w:space="0" w:color="auto"/>
                        <w:right w:val="none" w:sz="0" w:space="0" w:color="auto"/>
                      </w:divBdr>
                    </w:div>
                    <w:div w:id="1379864583">
                      <w:marLeft w:val="0"/>
                      <w:marRight w:val="0"/>
                      <w:marTop w:val="0"/>
                      <w:marBottom w:val="0"/>
                      <w:divBdr>
                        <w:top w:val="none" w:sz="0" w:space="0" w:color="auto"/>
                        <w:left w:val="none" w:sz="0" w:space="0" w:color="auto"/>
                        <w:bottom w:val="none" w:sz="0" w:space="0" w:color="auto"/>
                        <w:right w:val="none" w:sz="0" w:space="0" w:color="auto"/>
                      </w:divBdr>
                    </w:div>
                    <w:div w:id="1464932815">
                      <w:marLeft w:val="0"/>
                      <w:marRight w:val="0"/>
                      <w:marTop w:val="0"/>
                      <w:marBottom w:val="0"/>
                      <w:divBdr>
                        <w:top w:val="none" w:sz="0" w:space="0" w:color="auto"/>
                        <w:left w:val="none" w:sz="0" w:space="0" w:color="auto"/>
                        <w:bottom w:val="none" w:sz="0" w:space="0" w:color="auto"/>
                        <w:right w:val="none" w:sz="0" w:space="0" w:color="auto"/>
                      </w:divBdr>
                    </w:div>
                    <w:div w:id="1475681634">
                      <w:marLeft w:val="0"/>
                      <w:marRight w:val="0"/>
                      <w:marTop w:val="0"/>
                      <w:marBottom w:val="0"/>
                      <w:divBdr>
                        <w:top w:val="none" w:sz="0" w:space="0" w:color="auto"/>
                        <w:left w:val="none" w:sz="0" w:space="0" w:color="auto"/>
                        <w:bottom w:val="none" w:sz="0" w:space="0" w:color="auto"/>
                        <w:right w:val="none" w:sz="0" w:space="0" w:color="auto"/>
                      </w:divBdr>
                    </w:div>
                    <w:div w:id="1501844216">
                      <w:marLeft w:val="0"/>
                      <w:marRight w:val="0"/>
                      <w:marTop w:val="0"/>
                      <w:marBottom w:val="0"/>
                      <w:divBdr>
                        <w:top w:val="none" w:sz="0" w:space="0" w:color="auto"/>
                        <w:left w:val="none" w:sz="0" w:space="0" w:color="auto"/>
                        <w:bottom w:val="none" w:sz="0" w:space="0" w:color="auto"/>
                        <w:right w:val="none" w:sz="0" w:space="0" w:color="auto"/>
                      </w:divBdr>
                    </w:div>
                    <w:div w:id="1618098977">
                      <w:marLeft w:val="0"/>
                      <w:marRight w:val="0"/>
                      <w:marTop w:val="0"/>
                      <w:marBottom w:val="0"/>
                      <w:divBdr>
                        <w:top w:val="none" w:sz="0" w:space="0" w:color="auto"/>
                        <w:left w:val="none" w:sz="0" w:space="0" w:color="auto"/>
                        <w:bottom w:val="none" w:sz="0" w:space="0" w:color="auto"/>
                        <w:right w:val="none" w:sz="0" w:space="0" w:color="auto"/>
                      </w:divBdr>
                    </w:div>
                    <w:div w:id="1658265477">
                      <w:marLeft w:val="0"/>
                      <w:marRight w:val="0"/>
                      <w:marTop w:val="0"/>
                      <w:marBottom w:val="0"/>
                      <w:divBdr>
                        <w:top w:val="none" w:sz="0" w:space="0" w:color="auto"/>
                        <w:left w:val="none" w:sz="0" w:space="0" w:color="auto"/>
                        <w:bottom w:val="none" w:sz="0" w:space="0" w:color="auto"/>
                        <w:right w:val="none" w:sz="0" w:space="0" w:color="auto"/>
                      </w:divBdr>
                    </w:div>
                    <w:div w:id="1668442144">
                      <w:marLeft w:val="0"/>
                      <w:marRight w:val="0"/>
                      <w:marTop w:val="0"/>
                      <w:marBottom w:val="0"/>
                      <w:divBdr>
                        <w:top w:val="none" w:sz="0" w:space="0" w:color="auto"/>
                        <w:left w:val="none" w:sz="0" w:space="0" w:color="auto"/>
                        <w:bottom w:val="none" w:sz="0" w:space="0" w:color="auto"/>
                        <w:right w:val="none" w:sz="0" w:space="0" w:color="auto"/>
                      </w:divBdr>
                    </w:div>
                    <w:div w:id="1668628187">
                      <w:marLeft w:val="0"/>
                      <w:marRight w:val="0"/>
                      <w:marTop w:val="0"/>
                      <w:marBottom w:val="0"/>
                      <w:divBdr>
                        <w:top w:val="none" w:sz="0" w:space="0" w:color="auto"/>
                        <w:left w:val="none" w:sz="0" w:space="0" w:color="auto"/>
                        <w:bottom w:val="none" w:sz="0" w:space="0" w:color="auto"/>
                        <w:right w:val="none" w:sz="0" w:space="0" w:color="auto"/>
                      </w:divBdr>
                    </w:div>
                    <w:div w:id="1766144188">
                      <w:marLeft w:val="0"/>
                      <w:marRight w:val="0"/>
                      <w:marTop w:val="0"/>
                      <w:marBottom w:val="0"/>
                      <w:divBdr>
                        <w:top w:val="none" w:sz="0" w:space="0" w:color="auto"/>
                        <w:left w:val="none" w:sz="0" w:space="0" w:color="auto"/>
                        <w:bottom w:val="none" w:sz="0" w:space="0" w:color="auto"/>
                        <w:right w:val="none" w:sz="0" w:space="0" w:color="auto"/>
                      </w:divBdr>
                    </w:div>
                    <w:div w:id="1786003343">
                      <w:marLeft w:val="0"/>
                      <w:marRight w:val="0"/>
                      <w:marTop w:val="0"/>
                      <w:marBottom w:val="0"/>
                      <w:divBdr>
                        <w:top w:val="none" w:sz="0" w:space="0" w:color="auto"/>
                        <w:left w:val="none" w:sz="0" w:space="0" w:color="auto"/>
                        <w:bottom w:val="none" w:sz="0" w:space="0" w:color="auto"/>
                        <w:right w:val="none" w:sz="0" w:space="0" w:color="auto"/>
                      </w:divBdr>
                    </w:div>
                    <w:div w:id="1809005828">
                      <w:marLeft w:val="0"/>
                      <w:marRight w:val="0"/>
                      <w:marTop w:val="0"/>
                      <w:marBottom w:val="0"/>
                      <w:divBdr>
                        <w:top w:val="none" w:sz="0" w:space="0" w:color="auto"/>
                        <w:left w:val="none" w:sz="0" w:space="0" w:color="auto"/>
                        <w:bottom w:val="none" w:sz="0" w:space="0" w:color="auto"/>
                        <w:right w:val="none" w:sz="0" w:space="0" w:color="auto"/>
                      </w:divBdr>
                    </w:div>
                    <w:div w:id="1831944053">
                      <w:marLeft w:val="0"/>
                      <w:marRight w:val="0"/>
                      <w:marTop w:val="0"/>
                      <w:marBottom w:val="0"/>
                      <w:divBdr>
                        <w:top w:val="none" w:sz="0" w:space="0" w:color="auto"/>
                        <w:left w:val="none" w:sz="0" w:space="0" w:color="auto"/>
                        <w:bottom w:val="none" w:sz="0" w:space="0" w:color="auto"/>
                        <w:right w:val="none" w:sz="0" w:space="0" w:color="auto"/>
                      </w:divBdr>
                    </w:div>
                    <w:div w:id="1839226045">
                      <w:marLeft w:val="0"/>
                      <w:marRight w:val="0"/>
                      <w:marTop w:val="0"/>
                      <w:marBottom w:val="0"/>
                      <w:divBdr>
                        <w:top w:val="none" w:sz="0" w:space="0" w:color="auto"/>
                        <w:left w:val="none" w:sz="0" w:space="0" w:color="auto"/>
                        <w:bottom w:val="none" w:sz="0" w:space="0" w:color="auto"/>
                        <w:right w:val="none" w:sz="0" w:space="0" w:color="auto"/>
                      </w:divBdr>
                    </w:div>
                    <w:div w:id="1869173960">
                      <w:marLeft w:val="0"/>
                      <w:marRight w:val="0"/>
                      <w:marTop w:val="0"/>
                      <w:marBottom w:val="0"/>
                      <w:divBdr>
                        <w:top w:val="none" w:sz="0" w:space="0" w:color="auto"/>
                        <w:left w:val="none" w:sz="0" w:space="0" w:color="auto"/>
                        <w:bottom w:val="none" w:sz="0" w:space="0" w:color="auto"/>
                        <w:right w:val="none" w:sz="0" w:space="0" w:color="auto"/>
                      </w:divBdr>
                    </w:div>
                    <w:div w:id="1877306551">
                      <w:marLeft w:val="0"/>
                      <w:marRight w:val="0"/>
                      <w:marTop w:val="0"/>
                      <w:marBottom w:val="0"/>
                      <w:divBdr>
                        <w:top w:val="none" w:sz="0" w:space="0" w:color="auto"/>
                        <w:left w:val="none" w:sz="0" w:space="0" w:color="auto"/>
                        <w:bottom w:val="none" w:sz="0" w:space="0" w:color="auto"/>
                        <w:right w:val="none" w:sz="0" w:space="0" w:color="auto"/>
                      </w:divBdr>
                    </w:div>
                    <w:div w:id="1989090758">
                      <w:marLeft w:val="0"/>
                      <w:marRight w:val="0"/>
                      <w:marTop w:val="0"/>
                      <w:marBottom w:val="0"/>
                      <w:divBdr>
                        <w:top w:val="none" w:sz="0" w:space="0" w:color="auto"/>
                        <w:left w:val="none" w:sz="0" w:space="0" w:color="auto"/>
                        <w:bottom w:val="none" w:sz="0" w:space="0" w:color="auto"/>
                        <w:right w:val="none" w:sz="0" w:space="0" w:color="auto"/>
                      </w:divBdr>
                    </w:div>
                    <w:div w:id="2000579168">
                      <w:marLeft w:val="0"/>
                      <w:marRight w:val="0"/>
                      <w:marTop w:val="0"/>
                      <w:marBottom w:val="0"/>
                      <w:divBdr>
                        <w:top w:val="none" w:sz="0" w:space="0" w:color="auto"/>
                        <w:left w:val="none" w:sz="0" w:space="0" w:color="auto"/>
                        <w:bottom w:val="none" w:sz="0" w:space="0" w:color="auto"/>
                        <w:right w:val="none" w:sz="0" w:space="0" w:color="auto"/>
                      </w:divBdr>
                    </w:div>
                    <w:div w:id="20694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88609">
      <w:bodyDiv w:val="1"/>
      <w:marLeft w:val="0"/>
      <w:marRight w:val="0"/>
      <w:marTop w:val="0"/>
      <w:marBottom w:val="0"/>
      <w:divBdr>
        <w:top w:val="none" w:sz="0" w:space="0" w:color="auto"/>
        <w:left w:val="none" w:sz="0" w:space="0" w:color="auto"/>
        <w:bottom w:val="none" w:sz="0" w:space="0" w:color="auto"/>
        <w:right w:val="none" w:sz="0" w:space="0" w:color="auto"/>
      </w:divBdr>
    </w:div>
    <w:div w:id="1884101318">
      <w:bodyDiv w:val="1"/>
      <w:marLeft w:val="0"/>
      <w:marRight w:val="0"/>
      <w:marTop w:val="0"/>
      <w:marBottom w:val="0"/>
      <w:divBdr>
        <w:top w:val="none" w:sz="0" w:space="0" w:color="auto"/>
        <w:left w:val="none" w:sz="0" w:space="0" w:color="auto"/>
        <w:bottom w:val="none" w:sz="0" w:space="0" w:color="auto"/>
        <w:right w:val="none" w:sz="0" w:space="0" w:color="auto"/>
      </w:divBdr>
      <w:divsChild>
        <w:div w:id="1540895093">
          <w:marLeft w:val="0"/>
          <w:marRight w:val="0"/>
          <w:marTop w:val="0"/>
          <w:marBottom w:val="0"/>
          <w:divBdr>
            <w:top w:val="none" w:sz="0" w:space="0" w:color="auto"/>
            <w:left w:val="none" w:sz="0" w:space="0" w:color="auto"/>
            <w:bottom w:val="none" w:sz="0" w:space="0" w:color="auto"/>
            <w:right w:val="none" w:sz="0" w:space="0" w:color="auto"/>
          </w:divBdr>
          <w:divsChild>
            <w:div w:id="2073238185">
              <w:marLeft w:val="0"/>
              <w:marRight w:val="0"/>
              <w:marTop w:val="0"/>
              <w:marBottom w:val="0"/>
              <w:divBdr>
                <w:top w:val="none" w:sz="0" w:space="0" w:color="auto"/>
                <w:left w:val="none" w:sz="0" w:space="0" w:color="auto"/>
                <w:bottom w:val="none" w:sz="0" w:space="0" w:color="auto"/>
                <w:right w:val="none" w:sz="0" w:space="0" w:color="auto"/>
              </w:divBdr>
              <w:divsChild>
                <w:div w:id="2002929479">
                  <w:marLeft w:val="0"/>
                  <w:marRight w:val="0"/>
                  <w:marTop w:val="0"/>
                  <w:marBottom w:val="0"/>
                  <w:divBdr>
                    <w:top w:val="none" w:sz="0" w:space="0" w:color="auto"/>
                    <w:left w:val="none" w:sz="0" w:space="0" w:color="auto"/>
                    <w:bottom w:val="none" w:sz="0" w:space="0" w:color="auto"/>
                    <w:right w:val="none" w:sz="0" w:space="0" w:color="auto"/>
                  </w:divBdr>
                  <w:divsChild>
                    <w:div w:id="178206870">
                      <w:marLeft w:val="0"/>
                      <w:marRight w:val="0"/>
                      <w:marTop w:val="0"/>
                      <w:marBottom w:val="0"/>
                      <w:divBdr>
                        <w:top w:val="none" w:sz="0" w:space="0" w:color="auto"/>
                        <w:left w:val="none" w:sz="0" w:space="0" w:color="auto"/>
                        <w:bottom w:val="none" w:sz="0" w:space="0" w:color="auto"/>
                        <w:right w:val="none" w:sz="0" w:space="0" w:color="auto"/>
                      </w:divBdr>
                    </w:div>
                    <w:div w:id="350688038">
                      <w:marLeft w:val="0"/>
                      <w:marRight w:val="0"/>
                      <w:marTop w:val="0"/>
                      <w:marBottom w:val="0"/>
                      <w:divBdr>
                        <w:top w:val="none" w:sz="0" w:space="0" w:color="auto"/>
                        <w:left w:val="none" w:sz="0" w:space="0" w:color="auto"/>
                        <w:bottom w:val="none" w:sz="0" w:space="0" w:color="auto"/>
                        <w:right w:val="none" w:sz="0" w:space="0" w:color="auto"/>
                      </w:divBdr>
                    </w:div>
                    <w:div w:id="1165975843">
                      <w:marLeft w:val="0"/>
                      <w:marRight w:val="0"/>
                      <w:marTop w:val="0"/>
                      <w:marBottom w:val="0"/>
                      <w:divBdr>
                        <w:top w:val="none" w:sz="0" w:space="0" w:color="auto"/>
                        <w:left w:val="none" w:sz="0" w:space="0" w:color="auto"/>
                        <w:bottom w:val="none" w:sz="0" w:space="0" w:color="auto"/>
                        <w:right w:val="none" w:sz="0" w:space="0" w:color="auto"/>
                      </w:divBdr>
                      <w:divsChild>
                        <w:div w:id="893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09876">
      <w:bodyDiv w:val="1"/>
      <w:marLeft w:val="0"/>
      <w:marRight w:val="0"/>
      <w:marTop w:val="0"/>
      <w:marBottom w:val="0"/>
      <w:divBdr>
        <w:top w:val="none" w:sz="0" w:space="0" w:color="auto"/>
        <w:left w:val="none" w:sz="0" w:space="0" w:color="auto"/>
        <w:bottom w:val="none" w:sz="0" w:space="0" w:color="auto"/>
        <w:right w:val="none" w:sz="0" w:space="0" w:color="auto"/>
      </w:divBdr>
    </w:div>
    <w:div w:id="1936746285">
      <w:bodyDiv w:val="1"/>
      <w:marLeft w:val="0"/>
      <w:marRight w:val="0"/>
      <w:marTop w:val="0"/>
      <w:marBottom w:val="0"/>
      <w:divBdr>
        <w:top w:val="none" w:sz="0" w:space="0" w:color="auto"/>
        <w:left w:val="none" w:sz="0" w:space="0" w:color="auto"/>
        <w:bottom w:val="none" w:sz="0" w:space="0" w:color="auto"/>
        <w:right w:val="none" w:sz="0" w:space="0" w:color="auto"/>
      </w:divBdr>
      <w:divsChild>
        <w:div w:id="523906654">
          <w:marLeft w:val="0"/>
          <w:marRight w:val="0"/>
          <w:marTop w:val="0"/>
          <w:marBottom w:val="0"/>
          <w:divBdr>
            <w:top w:val="none" w:sz="0" w:space="0" w:color="auto"/>
            <w:left w:val="none" w:sz="0" w:space="0" w:color="auto"/>
            <w:bottom w:val="none" w:sz="0" w:space="0" w:color="auto"/>
            <w:right w:val="none" w:sz="0" w:space="0" w:color="auto"/>
          </w:divBdr>
          <w:divsChild>
            <w:div w:id="333802618">
              <w:marLeft w:val="0"/>
              <w:marRight w:val="0"/>
              <w:marTop w:val="0"/>
              <w:marBottom w:val="0"/>
              <w:divBdr>
                <w:top w:val="none" w:sz="0" w:space="0" w:color="auto"/>
                <w:left w:val="none" w:sz="0" w:space="0" w:color="auto"/>
                <w:bottom w:val="none" w:sz="0" w:space="0" w:color="auto"/>
                <w:right w:val="none" w:sz="0" w:space="0" w:color="auto"/>
              </w:divBdr>
              <w:divsChild>
                <w:div w:id="1991202946">
                  <w:marLeft w:val="0"/>
                  <w:marRight w:val="0"/>
                  <w:marTop w:val="0"/>
                  <w:marBottom w:val="0"/>
                  <w:divBdr>
                    <w:top w:val="none" w:sz="0" w:space="0" w:color="auto"/>
                    <w:left w:val="none" w:sz="0" w:space="0" w:color="auto"/>
                    <w:bottom w:val="none" w:sz="0" w:space="0" w:color="auto"/>
                    <w:right w:val="none" w:sz="0" w:space="0" w:color="auto"/>
                  </w:divBdr>
                  <w:divsChild>
                    <w:div w:id="1435708699">
                      <w:marLeft w:val="0"/>
                      <w:marRight w:val="0"/>
                      <w:marTop w:val="0"/>
                      <w:marBottom w:val="0"/>
                      <w:divBdr>
                        <w:top w:val="none" w:sz="0" w:space="0" w:color="auto"/>
                        <w:left w:val="none" w:sz="0" w:space="0" w:color="auto"/>
                        <w:bottom w:val="none" w:sz="0" w:space="0" w:color="auto"/>
                        <w:right w:val="none" w:sz="0" w:space="0" w:color="auto"/>
                      </w:divBdr>
                      <w:divsChild>
                        <w:div w:id="11910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5204">
      <w:bodyDiv w:val="1"/>
      <w:marLeft w:val="0"/>
      <w:marRight w:val="0"/>
      <w:marTop w:val="0"/>
      <w:marBottom w:val="0"/>
      <w:divBdr>
        <w:top w:val="none" w:sz="0" w:space="0" w:color="auto"/>
        <w:left w:val="none" w:sz="0" w:space="0" w:color="auto"/>
        <w:bottom w:val="none" w:sz="0" w:space="0" w:color="auto"/>
        <w:right w:val="none" w:sz="0" w:space="0" w:color="auto"/>
      </w:divBdr>
      <w:divsChild>
        <w:div w:id="69039385">
          <w:marLeft w:val="0"/>
          <w:marRight w:val="0"/>
          <w:marTop w:val="0"/>
          <w:marBottom w:val="0"/>
          <w:divBdr>
            <w:top w:val="none" w:sz="0" w:space="0" w:color="auto"/>
            <w:left w:val="none" w:sz="0" w:space="0" w:color="auto"/>
            <w:bottom w:val="none" w:sz="0" w:space="0" w:color="auto"/>
            <w:right w:val="none" w:sz="0" w:space="0" w:color="auto"/>
          </w:divBdr>
          <w:divsChild>
            <w:div w:id="627780204">
              <w:marLeft w:val="0"/>
              <w:marRight w:val="0"/>
              <w:marTop w:val="0"/>
              <w:marBottom w:val="0"/>
              <w:divBdr>
                <w:top w:val="none" w:sz="0" w:space="0" w:color="auto"/>
                <w:left w:val="none" w:sz="0" w:space="0" w:color="auto"/>
                <w:bottom w:val="none" w:sz="0" w:space="0" w:color="auto"/>
                <w:right w:val="none" w:sz="0" w:space="0" w:color="auto"/>
              </w:divBdr>
              <w:divsChild>
                <w:div w:id="1508665879">
                  <w:marLeft w:val="0"/>
                  <w:marRight w:val="0"/>
                  <w:marTop w:val="0"/>
                  <w:marBottom w:val="0"/>
                  <w:divBdr>
                    <w:top w:val="none" w:sz="0" w:space="0" w:color="auto"/>
                    <w:left w:val="none" w:sz="0" w:space="0" w:color="auto"/>
                    <w:bottom w:val="none" w:sz="0" w:space="0" w:color="auto"/>
                    <w:right w:val="none" w:sz="0" w:space="0" w:color="auto"/>
                  </w:divBdr>
                  <w:divsChild>
                    <w:div w:id="132454461">
                      <w:marLeft w:val="0"/>
                      <w:marRight w:val="0"/>
                      <w:marTop w:val="0"/>
                      <w:marBottom w:val="0"/>
                      <w:divBdr>
                        <w:top w:val="none" w:sz="0" w:space="0" w:color="auto"/>
                        <w:left w:val="none" w:sz="0" w:space="0" w:color="auto"/>
                        <w:bottom w:val="none" w:sz="0" w:space="0" w:color="auto"/>
                        <w:right w:val="none" w:sz="0" w:space="0" w:color="auto"/>
                      </w:divBdr>
                      <w:divsChild>
                        <w:div w:id="454326007">
                          <w:marLeft w:val="0"/>
                          <w:marRight w:val="0"/>
                          <w:marTop w:val="0"/>
                          <w:marBottom w:val="0"/>
                          <w:divBdr>
                            <w:top w:val="none" w:sz="0" w:space="0" w:color="auto"/>
                            <w:left w:val="none" w:sz="0" w:space="0" w:color="auto"/>
                            <w:bottom w:val="none" w:sz="0" w:space="0" w:color="auto"/>
                            <w:right w:val="none" w:sz="0" w:space="0" w:color="auto"/>
                          </w:divBdr>
                        </w:div>
                      </w:divsChild>
                    </w:div>
                    <w:div w:id="874847843">
                      <w:marLeft w:val="0"/>
                      <w:marRight w:val="0"/>
                      <w:marTop w:val="0"/>
                      <w:marBottom w:val="0"/>
                      <w:divBdr>
                        <w:top w:val="none" w:sz="0" w:space="0" w:color="auto"/>
                        <w:left w:val="none" w:sz="0" w:space="0" w:color="auto"/>
                        <w:bottom w:val="none" w:sz="0" w:space="0" w:color="auto"/>
                        <w:right w:val="none" w:sz="0" w:space="0" w:color="auto"/>
                      </w:divBdr>
                    </w:div>
                    <w:div w:id="16751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91758">
      <w:bodyDiv w:val="1"/>
      <w:marLeft w:val="0"/>
      <w:marRight w:val="0"/>
      <w:marTop w:val="0"/>
      <w:marBottom w:val="0"/>
      <w:divBdr>
        <w:top w:val="none" w:sz="0" w:space="0" w:color="auto"/>
        <w:left w:val="none" w:sz="0" w:space="0" w:color="auto"/>
        <w:bottom w:val="none" w:sz="0" w:space="0" w:color="auto"/>
        <w:right w:val="none" w:sz="0" w:space="0" w:color="auto"/>
      </w:divBdr>
      <w:divsChild>
        <w:div w:id="1531600989">
          <w:marLeft w:val="0"/>
          <w:marRight w:val="0"/>
          <w:marTop w:val="0"/>
          <w:marBottom w:val="0"/>
          <w:divBdr>
            <w:top w:val="none" w:sz="0" w:space="0" w:color="auto"/>
            <w:left w:val="none" w:sz="0" w:space="0" w:color="auto"/>
            <w:bottom w:val="none" w:sz="0" w:space="0" w:color="auto"/>
            <w:right w:val="none" w:sz="0" w:space="0" w:color="auto"/>
          </w:divBdr>
          <w:divsChild>
            <w:div w:id="2143837536">
              <w:marLeft w:val="0"/>
              <w:marRight w:val="0"/>
              <w:marTop w:val="0"/>
              <w:marBottom w:val="0"/>
              <w:divBdr>
                <w:top w:val="none" w:sz="0" w:space="0" w:color="auto"/>
                <w:left w:val="none" w:sz="0" w:space="0" w:color="auto"/>
                <w:bottom w:val="none" w:sz="0" w:space="0" w:color="auto"/>
                <w:right w:val="none" w:sz="0" w:space="0" w:color="auto"/>
              </w:divBdr>
            </w:div>
          </w:divsChild>
        </w:div>
        <w:div w:id="1720668913">
          <w:marLeft w:val="0"/>
          <w:marRight w:val="0"/>
          <w:marTop w:val="0"/>
          <w:marBottom w:val="0"/>
          <w:divBdr>
            <w:top w:val="none" w:sz="0" w:space="0" w:color="auto"/>
            <w:left w:val="none" w:sz="0" w:space="0" w:color="auto"/>
            <w:bottom w:val="none" w:sz="0" w:space="0" w:color="auto"/>
            <w:right w:val="none" w:sz="0" w:space="0" w:color="auto"/>
          </w:divBdr>
        </w:div>
      </w:divsChild>
    </w:div>
    <w:div w:id="2019309511">
      <w:bodyDiv w:val="1"/>
      <w:marLeft w:val="0"/>
      <w:marRight w:val="0"/>
      <w:marTop w:val="0"/>
      <w:marBottom w:val="0"/>
      <w:divBdr>
        <w:top w:val="none" w:sz="0" w:space="0" w:color="auto"/>
        <w:left w:val="none" w:sz="0" w:space="0" w:color="auto"/>
        <w:bottom w:val="none" w:sz="0" w:space="0" w:color="auto"/>
        <w:right w:val="none" w:sz="0" w:space="0" w:color="auto"/>
      </w:divBdr>
      <w:divsChild>
        <w:div w:id="783038164">
          <w:marLeft w:val="0"/>
          <w:marRight w:val="0"/>
          <w:marTop w:val="0"/>
          <w:marBottom w:val="0"/>
          <w:divBdr>
            <w:top w:val="none" w:sz="0" w:space="0" w:color="auto"/>
            <w:left w:val="none" w:sz="0" w:space="0" w:color="auto"/>
            <w:bottom w:val="none" w:sz="0" w:space="0" w:color="auto"/>
            <w:right w:val="none" w:sz="0" w:space="0" w:color="auto"/>
          </w:divBdr>
          <w:divsChild>
            <w:div w:id="2096976873">
              <w:marLeft w:val="0"/>
              <w:marRight w:val="0"/>
              <w:marTop w:val="0"/>
              <w:marBottom w:val="0"/>
              <w:divBdr>
                <w:top w:val="none" w:sz="0" w:space="0" w:color="auto"/>
                <w:left w:val="none" w:sz="0" w:space="0" w:color="auto"/>
                <w:bottom w:val="none" w:sz="0" w:space="0" w:color="auto"/>
                <w:right w:val="none" w:sz="0" w:space="0" w:color="auto"/>
              </w:divBdr>
              <w:divsChild>
                <w:div w:id="2090416982">
                  <w:marLeft w:val="0"/>
                  <w:marRight w:val="0"/>
                  <w:marTop w:val="0"/>
                  <w:marBottom w:val="0"/>
                  <w:divBdr>
                    <w:top w:val="none" w:sz="0" w:space="0" w:color="auto"/>
                    <w:left w:val="none" w:sz="0" w:space="0" w:color="auto"/>
                    <w:bottom w:val="none" w:sz="0" w:space="0" w:color="auto"/>
                    <w:right w:val="none" w:sz="0" w:space="0" w:color="auto"/>
                  </w:divBdr>
                  <w:divsChild>
                    <w:div w:id="476456646">
                      <w:marLeft w:val="0"/>
                      <w:marRight w:val="0"/>
                      <w:marTop w:val="0"/>
                      <w:marBottom w:val="0"/>
                      <w:divBdr>
                        <w:top w:val="none" w:sz="0" w:space="0" w:color="auto"/>
                        <w:left w:val="none" w:sz="0" w:space="0" w:color="auto"/>
                        <w:bottom w:val="none" w:sz="0" w:space="0" w:color="auto"/>
                        <w:right w:val="none" w:sz="0" w:space="0" w:color="auto"/>
                      </w:divBdr>
                      <w:divsChild>
                        <w:div w:id="1477335097">
                          <w:marLeft w:val="0"/>
                          <w:marRight w:val="0"/>
                          <w:marTop w:val="225"/>
                          <w:marBottom w:val="0"/>
                          <w:divBdr>
                            <w:top w:val="none" w:sz="0" w:space="0" w:color="auto"/>
                            <w:left w:val="none" w:sz="0" w:space="0" w:color="auto"/>
                            <w:bottom w:val="none" w:sz="0" w:space="0" w:color="auto"/>
                            <w:right w:val="none" w:sz="0" w:space="0" w:color="auto"/>
                          </w:divBdr>
                          <w:divsChild>
                            <w:div w:id="513765264">
                              <w:marLeft w:val="0"/>
                              <w:marRight w:val="0"/>
                              <w:marTop w:val="0"/>
                              <w:marBottom w:val="0"/>
                              <w:divBdr>
                                <w:top w:val="none" w:sz="0" w:space="0" w:color="auto"/>
                                <w:left w:val="none" w:sz="0" w:space="0" w:color="auto"/>
                                <w:bottom w:val="none" w:sz="0" w:space="0" w:color="auto"/>
                                <w:right w:val="none" w:sz="0" w:space="0" w:color="auto"/>
                              </w:divBdr>
                            </w:div>
                            <w:div w:id="20313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
    <w:div w:id="2064021508">
      <w:bodyDiv w:val="1"/>
      <w:marLeft w:val="0"/>
      <w:marRight w:val="0"/>
      <w:marTop w:val="0"/>
      <w:marBottom w:val="0"/>
      <w:divBdr>
        <w:top w:val="none" w:sz="0" w:space="0" w:color="auto"/>
        <w:left w:val="none" w:sz="0" w:space="0" w:color="auto"/>
        <w:bottom w:val="none" w:sz="0" w:space="0" w:color="auto"/>
        <w:right w:val="none" w:sz="0" w:space="0" w:color="auto"/>
      </w:divBdr>
    </w:div>
    <w:div w:id="2079863207">
      <w:bodyDiv w:val="1"/>
      <w:marLeft w:val="0"/>
      <w:marRight w:val="0"/>
      <w:marTop w:val="0"/>
      <w:marBottom w:val="0"/>
      <w:divBdr>
        <w:top w:val="none" w:sz="0" w:space="0" w:color="auto"/>
        <w:left w:val="none" w:sz="0" w:space="0" w:color="auto"/>
        <w:bottom w:val="none" w:sz="0" w:space="0" w:color="auto"/>
        <w:right w:val="none" w:sz="0" w:space="0" w:color="auto"/>
      </w:divBdr>
    </w:div>
    <w:div w:id="2133477620">
      <w:bodyDiv w:val="1"/>
      <w:marLeft w:val="0"/>
      <w:marRight w:val="0"/>
      <w:marTop w:val="0"/>
      <w:marBottom w:val="0"/>
      <w:divBdr>
        <w:top w:val="none" w:sz="0" w:space="0" w:color="auto"/>
        <w:left w:val="none" w:sz="0" w:space="0" w:color="auto"/>
        <w:bottom w:val="none" w:sz="0" w:space="0" w:color="auto"/>
        <w:right w:val="none" w:sz="0" w:space="0" w:color="auto"/>
      </w:divBdr>
    </w:div>
    <w:div w:id="2143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lgc.wa.gov.au/" TargetMode="Externa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yperlink" Target="http://www.dlgc.wa.gov.au" TargetMode="External"/><Relationship Id="rId2" Type="http://schemas.openxmlformats.org/officeDocument/2006/relationships/numbering" Target="numbering.xml"/><Relationship Id="rId16" Type="http://schemas.openxmlformats.org/officeDocument/2006/relationships/hyperlink" Target="http://www.dlgc.wa.gov.au"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dlgc.wa.gov.au"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info@dlgc.wa.gov.au" TargetMode="External"/><Relationship Id="rId23" Type="http://schemas.openxmlformats.org/officeDocument/2006/relationships/hyperlink" Target="https://www.dlgc.wa.gov.au/GrantsFunding/Pages/LG-General-Purpose-Grants.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dlgc.wa.gov.au/GrantsFunding/Pages/LG-General-Purpose-Grants.aspx" TargetMode="External"/><Relationship Id="rId27" Type="http://schemas.openxmlformats.org/officeDocument/2006/relationships/footer" Target="footer7.xml"/><Relationship Id="rId30"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5982173929371707"/>
          <c:y val="4.5528715690199742E-2"/>
          <c:w val="0.80486277848019394"/>
          <c:h val="0.64142660133584994"/>
        </c:manualLayout>
      </c:layout>
      <c:barChart>
        <c:barDir val="col"/>
        <c:grouping val="clustered"/>
        <c:varyColors val="0"/>
        <c:ser>
          <c:idx val="0"/>
          <c:order val="0"/>
          <c:tx>
            <c:strRef>
              <c:f>Sheet3!$B$4</c:f>
              <c:strCache>
                <c:ptCount val="1"/>
                <c:pt idx="0">
                  <c:v>Total Financial Assistance Grants</c:v>
                </c:pt>
              </c:strCache>
            </c:strRef>
          </c:tx>
          <c:spPr>
            <a:solidFill>
              <a:srgbClr val="007DBA"/>
            </a:solidFill>
            <a:ln>
              <a:solidFill>
                <a:schemeClr val="bg1"/>
              </a:solidFill>
            </a:ln>
          </c:spPr>
          <c:invertIfNegative val="0"/>
          <c:cat>
            <c:strRef>
              <c:f>Sheet3!$A$5:$A$12</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Sheet3!$B$5:$B$12</c:f>
              <c:numCache>
                <c:formatCode>#,##0</c:formatCode>
                <c:ptCount val="8"/>
                <c:pt idx="0">
                  <c:v>711506054</c:v>
                </c:pt>
                <c:pt idx="1">
                  <c:v>539795619</c:v>
                </c:pt>
                <c:pt idx="2">
                  <c:v>450512007</c:v>
                </c:pt>
                <c:pt idx="3">
                  <c:v>281380382</c:v>
                </c:pt>
                <c:pt idx="4">
                  <c:v>152056530</c:v>
                </c:pt>
                <c:pt idx="5">
                  <c:v>71818617</c:v>
                </c:pt>
                <c:pt idx="6">
                  <c:v>32941173</c:v>
                </c:pt>
                <c:pt idx="7">
                  <c:v>48563344</c:v>
                </c:pt>
              </c:numCache>
            </c:numRef>
          </c:val>
          <c:extLst>
            <c:ext xmlns:c16="http://schemas.microsoft.com/office/drawing/2014/chart" uri="{C3380CC4-5D6E-409C-BE32-E72D297353CC}">
              <c16:uniqueId val="{00000000-E139-4E98-A9A1-A4C71EC7776B}"/>
            </c:ext>
          </c:extLst>
        </c:ser>
        <c:ser>
          <c:idx val="1"/>
          <c:order val="1"/>
          <c:tx>
            <c:strRef>
              <c:f>Sheet3!$C$4</c:f>
              <c:strCache>
                <c:ptCount val="1"/>
                <c:pt idx="0">
                  <c:v>General Purpose Grant</c:v>
                </c:pt>
              </c:strCache>
            </c:strRef>
          </c:tx>
          <c:spPr>
            <a:solidFill>
              <a:srgbClr val="C9EAFB"/>
            </a:solidFill>
            <a:ln>
              <a:solidFill>
                <a:schemeClr val="bg1"/>
              </a:solidFill>
            </a:ln>
          </c:spPr>
          <c:invertIfNegative val="0"/>
          <c:cat>
            <c:strRef>
              <c:f>Sheet3!$A$5:$A$12</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Sheet3!$C$5:$C$12</c:f>
              <c:numCache>
                <c:formatCode>#,##0</c:formatCode>
                <c:ptCount val="8"/>
                <c:pt idx="0">
                  <c:v>507430007</c:v>
                </c:pt>
                <c:pt idx="1">
                  <c:v>394781661</c:v>
                </c:pt>
                <c:pt idx="2">
                  <c:v>318722146</c:v>
                </c:pt>
                <c:pt idx="3">
                  <c:v>173830734</c:v>
                </c:pt>
                <c:pt idx="4">
                  <c:v>113400384</c:v>
                </c:pt>
                <c:pt idx="5">
                  <c:v>34543821</c:v>
                </c:pt>
                <c:pt idx="6">
                  <c:v>16464343</c:v>
                </c:pt>
                <c:pt idx="7">
                  <c:v>26008781</c:v>
                </c:pt>
              </c:numCache>
            </c:numRef>
          </c:val>
          <c:extLst>
            <c:ext xmlns:c16="http://schemas.microsoft.com/office/drawing/2014/chart" uri="{C3380CC4-5D6E-409C-BE32-E72D297353CC}">
              <c16:uniqueId val="{00000001-E139-4E98-A9A1-A4C71EC7776B}"/>
            </c:ext>
          </c:extLst>
        </c:ser>
        <c:ser>
          <c:idx val="2"/>
          <c:order val="2"/>
          <c:tx>
            <c:strRef>
              <c:f>Sheet3!$D$4</c:f>
              <c:strCache>
                <c:ptCount val="1"/>
                <c:pt idx="0">
                  <c:v>Local Road Grant</c:v>
                </c:pt>
              </c:strCache>
            </c:strRef>
          </c:tx>
          <c:spPr>
            <a:solidFill>
              <a:srgbClr val="965014"/>
            </a:solidFill>
          </c:spPr>
          <c:invertIfNegative val="0"/>
          <c:dPt>
            <c:idx val="0"/>
            <c:invertIfNegative val="0"/>
            <c:bubble3D val="0"/>
            <c:spPr>
              <a:solidFill>
                <a:srgbClr val="965014"/>
              </a:solidFill>
              <a:ln>
                <a:solidFill>
                  <a:schemeClr val="bg1"/>
                </a:solidFill>
              </a:ln>
            </c:spPr>
            <c:extLst>
              <c:ext xmlns:c16="http://schemas.microsoft.com/office/drawing/2014/chart" uri="{C3380CC4-5D6E-409C-BE32-E72D297353CC}">
                <c16:uniqueId val="{00000003-E139-4E98-A9A1-A4C71EC7776B}"/>
              </c:ext>
            </c:extLst>
          </c:dPt>
          <c:cat>
            <c:strRef>
              <c:f>Sheet3!$A$5:$A$12</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Sheet3!$D$5:$D$12</c:f>
              <c:numCache>
                <c:formatCode>#,##0</c:formatCode>
                <c:ptCount val="8"/>
                <c:pt idx="0">
                  <c:v>204076047</c:v>
                </c:pt>
                <c:pt idx="1">
                  <c:v>145013958</c:v>
                </c:pt>
                <c:pt idx="2">
                  <c:v>131789861</c:v>
                </c:pt>
                <c:pt idx="3">
                  <c:v>107549648</c:v>
                </c:pt>
                <c:pt idx="4">
                  <c:v>38656146</c:v>
                </c:pt>
                <c:pt idx="5">
                  <c:v>37274796</c:v>
                </c:pt>
                <c:pt idx="6">
                  <c:v>16476830</c:v>
                </c:pt>
                <c:pt idx="7">
                  <c:v>22554563</c:v>
                </c:pt>
              </c:numCache>
            </c:numRef>
          </c:val>
          <c:extLst>
            <c:ext xmlns:c16="http://schemas.microsoft.com/office/drawing/2014/chart" uri="{C3380CC4-5D6E-409C-BE32-E72D297353CC}">
              <c16:uniqueId val="{00000004-E139-4E98-A9A1-A4C71EC7776B}"/>
            </c:ext>
          </c:extLst>
        </c:ser>
        <c:dLbls>
          <c:showLegendKey val="0"/>
          <c:showVal val="0"/>
          <c:showCatName val="0"/>
          <c:showSerName val="0"/>
          <c:showPercent val="0"/>
          <c:showBubbleSize val="0"/>
        </c:dLbls>
        <c:gapWidth val="150"/>
        <c:axId val="463395000"/>
        <c:axId val="463394608"/>
      </c:barChart>
      <c:catAx>
        <c:axId val="463395000"/>
        <c:scaling>
          <c:orientation val="minMax"/>
        </c:scaling>
        <c:delete val="0"/>
        <c:axPos val="b"/>
        <c:numFmt formatCode="General" sourceLinked="0"/>
        <c:majorTickMark val="out"/>
        <c:minorTickMark val="none"/>
        <c:tickLblPos val="nextTo"/>
        <c:txPr>
          <a:bodyPr/>
          <a:lstStyle/>
          <a:p>
            <a:pPr>
              <a:defRPr sz="1200" baseline="0">
                <a:solidFill>
                  <a:srgbClr val="3C3C3C"/>
                </a:solidFill>
                <a:latin typeface="Arial" panose="020B0604020202020204" pitchFamily="34" charset="0"/>
              </a:defRPr>
            </a:pPr>
            <a:endParaRPr lang="en-US"/>
          </a:p>
        </c:txPr>
        <c:crossAx val="463394608"/>
        <c:crosses val="autoZero"/>
        <c:auto val="1"/>
        <c:lblAlgn val="ctr"/>
        <c:lblOffset val="100"/>
        <c:noMultiLvlLbl val="0"/>
      </c:catAx>
      <c:valAx>
        <c:axId val="463394608"/>
        <c:scaling>
          <c:orientation val="minMax"/>
        </c:scaling>
        <c:delete val="0"/>
        <c:axPos val="l"/>
        <c:majorGridlines/>
        <c:numFmt formatCode="#,##0" sourceLinked="1"/>
        <c:majorTickMark val="out"/>
        <c:minorTickMark val="none"/>
        <c:tickLblPos val="nextTo"/>
        <c:txPr>
          <a:bodyPr/>
          <a:lstStyle/>
          <a:p>
            <a:pPr>
              <a:defRPr sz="1200" baseline="0">
                <a:solidFill>
                  <a:srgbClr val="3C3C3C"/>
                </a:solidFill>
                <a:latin typeface="Arial" panose="020B0604020202020204" pitchFamily="34" charset="0"/>
              </a:defRPr>
            </a:pPr>
            <a:endParaRPr lang="en-US"/>
          </a:p>
        </c:txPr>
        <c:crossAx val="463395000"/>
        <c:crosses val="autoZero"/>
        <c:crossBetween val="between"/>
      </c:valAx>
    </c:plotArea>
    <c:legend>
      <c:legendPos val="r"/>
      <c:layout>
        <c:manualLayout>
          <c:xMode val="edge"/>
          <c:yMode val="edge"/>
          <c:x val="0.65519856122913089"/>
          <c:y val="8.3133591351928465E-2"/>
          <c:w val="0.28416845358497772"/>
          <c:h val="0.34642178543802932"/>
        </c:manualLayout>
      </c:layout>
      <c:overlay val="0"/>
      <c:spPr>
        <a:solidFill>
          <a:schemeClr val="bg1"/>
        </a:solidFill>
        <a:ln>
          <a:solidFill>
            <a:schemeClr val="bg1">
              <a:lumMod val="50000"/>
            </a:schemeClr>
          </a:solidFill>
        </a:ln>
      </c:spPr>
      <c:txPr>
        <a:bodyPr/>
        <a:lstStyle/>
        <a:p>
          <a:pPr>
            <a:defRPr sz="1200" baseline="0">
              <a:solidFill>
                <a:srgbClr val="3C3C3C"/>
              </a:solidFill>
              <a:latin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02740415197499E-2"/>
          <c:y val="3.3838211521447087E-2"/>
          <c:w val="0.88460627284872684"/>
          <c:h val="0.80254226266858064"/>
        </c:manualLayout>
      </c:layout>
      <c:lineChart>
        <c:grouping val="standard"/>
        <c:varyColors val="0"/>
        <c:ser>
          <c:idx val="0"/>
          <c:order val="0"/>
          <c:tx>
            <c:strRef>
              <c:f>'2012 Fig Two'!$B$3</c:f>
              <c:strCache>
                <c:ptCount val="1"/>
                <c:pt idx="0">
                  <c:v>General Purpose Grant</c:v>
                </c:pt>
              </c:strCache>
            </c:strRef>
          </c:tx>
          <c:spPr>
            <a:ln w="25400">
              <a:solidFill>
                <a:srgbClr val="0069AA"/>
              </a:solidFill>
              <a:prstDash val="solid"/>
            </a:ln>
          </c:spPr>
          <c:marker>
            <c:symbol val="circle"/>
            <c:size val="9"/>
            <c:spPr>
              <a:solidFill>
                <a:srgbClr val="0069AA"/>
              </a:solidFill>
              <a:ln>
                <a:solidFill>
                  <a:srgbClr val="0069AA"/>
                </a:solidFill>
                <a:prstDash val="solid"/>
              </a:ln>
            </c:spPr>
          </c:marker>
          <c:dLbls>
            <c:spPr>
              <a:noFill/>
              <a:ln w="25400">
                <a:noFill/>
              </a:ln>
            </c:spPr>
            <c:txPr>
              <a:bodyPr rot="-3600000" vert="horz" wrap="square" lIns="38100" tIns="19050" rIns="38100" bIns="19050" anchor="ctr">
                <a:spAutoFit/>
              </a:bodyPr>
              <a:lstStyle/>
              <a:p>
                <a:pPr algn="ctr">
                  <a:defRPr sz="12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 Fig Two'!$A$18:$A$33</c:f>
              <c:strCache>
                <c:ptCount val="16"/>
                <c:pt idx="0">
                  <c:v>00/01</c:v>
                </c:pt>
                <c:pt idx="1">
                  <c:v>01/02</c:v>
                </c:pt>
                <c:pt idx="2">
                  <c:v>02/03</c:v>
                </c:pt>
                <c:pt idx="3">
                  <c:v>03/04</c:v>
                </c:pt>
                <c:pt idx="4">
                  <c:v>04/05</c:v>
                </c:pt>
                <c:pt idx="5">
                  <c:v>05/06</c:v>
                </c:pt>
                <c:pt idx="6">
                  <c:v>06/07</c:v>
                </c:pt>
                <c:pt idx="7">
                  <c:v>07/08</c:v>
                </c:pt>
                <c:pt idx="8">
                  <c:v>08/09</c:v>
                </c:pt>
                <c:pt idx="9">
                  <c:v>09/10</c:v>
                </c:pt>
                <c:pt idx="10">
                  <c:v>10/11</c:v>
                </c:pt>
                <c:pt idx="11">
                  <c:v>11/12</c:v>
                </c:pt>
                <c:pt idx="12">
                  <c:v>12/13</c:v>
                </c:pt>
                <c:pt idx="13">
                  <c:v>13/14</c:v>
                </c:pt>
                <c:pt idx="14">
                  <c:v>14/15</c:v>
                </c:pt>
                <c:pt idx="15">
                  <c:v>15/16</c:v>
                </c:pt>
              </c:strCache>
            </c:strRef>
          </c:cat>
          <c:val>
            <c:numRef>
              <c:f>'2012 Fig Two'!$B$18:$B$33</c:f>
              <c:numCache>
                <c:formatCode>General</c:formatCode>
                <c:ptCount val="16"/>
                <c:pt idx="0">
                  <c:v>89.86</c:v>
                </c:pt>
                <c:pt idx="1">
                  <c:v>93.67</c:v>
                </c:pt>
                <c:pt idx="2" formatCode="0.00">
                  <c:v>98.04</c:v>
                </c:pt>
                <c:pt idx="3">
                  <c:v>102.99</c:v>
                </c:pt>
                <c:pt idx="4">
                  <c:v>105.15</c:v>
                </c:pt>
                <c:pt idx="5">
                  <c:v>110.64</c:v>
                </c:pt>
                <c:pt idx="6">
                  <c:v>115.73</c:v>
                </c:pt>
                <c:pt idx="7">
                  <c:v>122.01</c:v>
                </c:pt>
                <c:pt idx="8" formatCode="0.00">
                  <c:v>131.82</c:v>
                </c:pt>
                <c:pt idx="9" formatCode="0.00">
                  <c:v>136.37</c:v>
                </c:pt>
                <c:pt idx="10" formatCode="0.00">
                  <c:v>146.4</c:v>
                </c:pt>
                <c:pt idx="11" formatCode="0.00">
                  <c:v>153.63999999999999</c:v>
                </c:pt>
                <c:pt idx="12" formatCode="0.00">
                  <c:v>159.79</c:v>
                </c:pt>
                <c:pt idx="13" formatCode="0.00">
                  <c:v>170.18</c:v>
                </c:pt>
                <c:pt idx="14">
                  <c:v>173.43</c:v>
                </c:pt>
                <c:pt idx="15" formatCode="0.00">
                  <c:v>173.83</c:v>
                </c:pt>
              </c:numCache>
            </c:numRef>
          </c:val>
          <c:smooth val="0"/>
          <c:extLst>
            <c:ext xmlns:c16="http://schemas.microsoft.com/office/drawing/2014/chart" uri="{C3380CC4-5D6E-409C-BE32-E72D297353CC}">
              <c16:uniqueId val="{00000000-1050-40F0-A82C-8F986BC010B9}"/>
            </c:ext>
          </c:extLst>
        </c:ser>
        <c:ser>
          <c:idx val="1"/>
          <c:order val="1"/>
          <c:tx>
            <c:strRef>
              <c:f>'2012 Fig Two'!$C$3</c:f>
              <c:strCache>
                <c:ptCount val="1"/>
                <c:pt idx="0">
                  <c:v>Roads</c:v>
                </c:pt>
              </c:strCache>
            </c:strRef>
          </c:tx>
          <c:spPr>
            <a:ln w="25400">
              <a:solidFill>
                <a:srgbClr val="0069AA"/>
              </a:solidFill>
              <a:prstDash val="solid"/>
            </a:ln>
          </c:spPr>
          <c:marker>
            <c:symbol val="square"/>
            <c:size val="8"/>
            <c:spPr>
              <a:solidFill>
                <a:srgbClr val="ADD1EF"/>
              </a:solidFill>
              <a:ln>
                <a:solidFill>
                  <a:srgbClr val="ADD1EF"/>
                </a:solidFill>
                <a:prstDash val="solid"/>
              </a:ln>
              <a:effectLst>
                <a:outerShdw dist="35921" dir="2700000" algn="br">
                  <a:srgbClr val="000000"/>
                </a:outerShdw>
              </a:effectLst>
            </c:spPr>
          </c:marker>
          <c:dLbls>
            <c:spPr>
              <a:noFill/>
              <a:ln w="25400">
                <a:noFill/>
              </a:ln>
            </c:spPr>
            <c:txPr>
              <a:bodyPr rot="-3600000" vert="horz" wrap="square" lIns="38100" tIns="19050" rIns="38100" bIns="19050" anchor="ctr">
                <a:spAutoFit/>
              </a:bodyPr>
              <a:lstStyle/>
              <a:p>
                <a:pPr algn="ctr">
                  <a:defRPr sz="1200" b="0" i="0" u="none" strike="noStrike" baseline="0">
                    <a:solidFill>
                      <a:srgbClr val="000000"/>
                    </a:solidFill>
                    <a:latin typeface="Arial"/>
                    <a:ea typeface="Arial"/>
                    <a:cs typeface="Aria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 Fig Two'!$A$18:$A$33</c:f>
              <c:strCache>
                <c:ptCount val="16"/>
                <c:pt idx="0">
                  <c:v>00/01</c:v>
                </c:pt>
                <c:pt idx="1">
                  <c:v>01/02</c:v>
                </c:pt>
                <c:pt idx="2">
                  <c:v>02/03</c:v>
                </c:pt>
                <c:pt idx="3">
                  <c:v>03/04</c:v>
                </c:pt>
                <c:pt idx="4">
                  <c:v>04/05</c:v>
                </c:pt>
                <c:pt idx="5">
                  <c:v>05/06</c:v>
                </c:pt>
                <c:pt idx="6">
                  <c:v>06/07</c:v>
                </c:pt>
                <c:pt idx="7">
                  <c:v>07/08</c:v>
                </c:pt>
                <c:pt idx="8">
                  <c:v>08/09</c:v>
                </c:pt>
                <c:pt idx="9">
                  <c:v>09/10</c:v>
                </c:pt>
                <c:pt idx="10">
                  <c:v>10/11</c:v>
                </c:pt>
                <c:pt idx="11">
                  <c:v>11/12</c:v>
                </c:pt>
                <c:pt idx="12">
                  <c:v>12/13</c:v>
                </c:pt>
                <c:pt idx="13">
                  <c:v>13/14</c:v>
                </c:pt>
                <c:pt idx="14">
                  <c:v>14/15</c:v>
                </c:pt>
                <c:pt idx="15">
                  <c:v>15/16</c:v>
                </c:pt>
              </c:strCache>
            </c:strRef>
          </c:cat>
          <c:val>
            <c:numRef>
              <c:f>'2012 Fig Two'!$C$18:$C$33</c:f>
              <c:numCache>
                <c:formatCode>General</c:formatCode>
                <c:ptCount val="16"/>
                <c:pt idx="0">
                  <c:v>62.07</c:v>
                </c:pt>
                <c:pt idx="1">
                  <c:v>64.569999999999993</c:v>
                </c:pt>
                <c:pt idx="2" formatCode="0.00">
                  <c:v>67.486999999999995</c:v>
                </c:pt>
                <c:pt idx="3">
                  <c:v>71.17</c:v>
                </c:pt>
                <c:pt idx="4">
                  <c:v>72.58</c:v>
                </c:pt>
                <c:pt idx="5">
                  <c:v>75.97</c:v>
                </c:pt>
                <c:pt idx="6">
                  <c:v>79.150000000000006</c:v>
                </c:pt>
                <c:pt idx="7">
                  <c:v>82.98</c:v>
                </c:pt>
                <c:pt idx="8" formatCode="0.00">
                  <c:v>88.87</c:v>
                </c:pt>
                <c:pt idx="9" formatCode="0.00">
                  <c:v>90.85</c:v>
                </c:pt>
                <c:pt idx="10" formatCode="0.00">
                  <c:v>96.7</c:v>
                </c:pt>
                <c:pt idx="11" formatCode="0.00">
                  <c:v>101.13</c:v>
                </c:pt>
                <c:pt idx="12" formatCode="0.00">
                  <c:v>103</c:v>
                </c:pt>
                <c:pt idx="13" formatCode="0.00">
                  <c:v>106.95</c:v>
                </c:pt>
                <c:pt idx="14">
                  <c:v>107.55</c:v>
                </c:pt>
                <c:pt idx="15" formatCode="0.00">
                  <c:v>107.54900000000001</c:v>
                </c:pt>
              </c:numCache>
            </c:numRef>
          </c:val>
          <c:smooth val="0"/>
          <c:extLst>
            <c:ext xmlns:c16="http://schemas.microsoft.com/office/drawing/2014/chart" uri="{C3380CC4-5D6E-409C-BE32-E72D297353CC}">
              <c16:uniqueId val="{00000001-1050-40F0-A82C-8F986BC010B9}"/>
            </c:ext>
          </c:extLst>
        </c:ser>
        <c:dLbls>
          <c:showLegendKey val="0"/>
          <c:showVal val="0"/>
          <c:showCatName val="0"/>
          <c:showSerName val="0"/>
          <c:showPercent val="0"/>
          <c:showBubbleSize val="0"/>
        </c:dLbls>
        <c:marker val="1"/>
        <c:smooth val="0"/>
        <c:axId val="463393432"/>
        <c:axId val="401197232"/>
      </c:lineChart>
      <c:catAx>
        <c:axId val="463393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0" i="0" u="none" strike="noStrike" baseline="0">
                <a:solidFill>
                  <a:srgbClr val="000000"/>
                </a:solidFill>
                <a:latin typeface="Arial"/>
                <a:ea typeface="Arial"/>
                <a:cs typeface="Arial"/>
              </a:defRPr>
            </a:pPr>
            <a:endParaRPr lang="en-US"/>
          </a:p>
        </c:txPr>
        <c:crossAx val="401197232"/>
        <c:crosses val="autoZero"/>
        <c:auto val="1"/>
        <c:lblAlgn val="ctr"/>
        <c:lblOffset val="100"/>
        <c:tickLblSkip val="1"/>
        <c:tickMarkSkip val="1"/>
        <c:noMultiLvlLbl val="0"/>
      </c:catAx>
      <c:valAx>
        <c:axId val="4011972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63393432"/>
        <c:crosses val="autoZero"/>
        <c:crossBetween val="between"/>
      </c:valAx>
      <c:spPr>
        <a:solidFill>
          <a:srgbClr val="FFFFFF"/>
        </a:solidFill>
        <a:ln w="12700">
          <a:solidFill>
            <a:srgbClr val="C0C0C0"/>
          </a:solidFill>
          <a:prstDash val="solid"/>
        </a:ln>
      </c:spPr>
    </c:plotArea>
    <c:legend>
      <c:legendPos val="r"/>
      <c:layout>
        <c:manualLayout>
          <c:xMode val="edge"/>
          <c:yMode val="edge"/>
          <c:x val="0.13241718553186915"/>
          <c:y val="0.12338152111241063"/>
          <c:w val="0.19166466308658045"/>
          <c:h val="0.14086721380958231"/>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24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E3D5FC63AB3434B9BA1B232DD1263B4" ma:contentTypeVersion="2" ma:contentTypeDescription="Create a new document." ma:contentTypeScope="" ma:versionID="68071ce013e5cd8da9dc810a948ce446">
  <xsd:schema xmlns:xsd="http://www.w3.org/2001/XMLSchema" xmlns:xs="http://www.w3.org/2001/XMLSchema" xmlns:p="http://schemas.microsoft.com/office/2006/metadata/properties" xmlns:ns2="ee3d963f-bd5f-40b4-ba1a-aacc5117fcc3" targetNamespace="http://schemas.microsoft.com/office/2006/metadata/properties" ma:root="true" ma:fieldsID="d515473747ee74ff6edeeeab10cd2207" ns2:_="">
    <xsd:import namespace="ee3d963f-bd5f-40b4-ba1a-aacc5117fcc3"/>
    <xsd:element name="properties">
      <xsd:complexType>
        <xsd:sequence>
          <xsd:element name="documentManagement">
            <xsd:complexType>
              <xsd:all>
                <xsd:element ref="ns2:pa7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d963f-bd5f-40b4-ba1a-aacc5117fcc3" elementFormDefault="qualified">
    <xsd:import namespace="http://schemas.microsoft.com/office/2006/documentManagement/types"/>
    <xsd:import namespace="http://schemas.microsoft.com/office/infopath/2007/PartnerControls"/>
    <xsd:element name="pa7z" ma:index="8" nillable="true" ma:displayName="Number" ma:internalName="pa7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7z xmlns="ee3d963f-bd5f-40b4-ba1a-aacc5117fcc3" xsi:nil="true"/>
  </documentManagement>
</p:properties>
</file>

<file path=customXml/itemProps1.xml><?xml version="1.0" encoding="utf-8"?>
<ds:datastoreItem xmlns:ds="http://schemas.openxmlformats.org/officeDocument/2006/customXml" ds:itemID="{EB9FD8BB-B8DE-4C5B-9AD7-B6ABA8CEB752}"/>
</file>

<file path=customXml/itemProps2.xml><?xml version="1.0" encoding="utf-8"?>
<ds:datastoreItem xmlns:ds="http://schemas.openxmlformats.org/officeDocument/2006/customXml" ds:itemID="{A9100171-77AC-4DD2-8CD4-445491A1FAAE}"/>
</file>

<file path=customXml/itemProps3.xml><?xml version="1.0" encoding="utf-8"?>
<ds:datastoreItem xmlns:ds="http://schemas.openxmlformats.org/officeDocument/2006/customXml" ds:itemID="{824F149D-8712-4309-B880-6990C98AAEBA}"/>
</file>

<file path=customXml/itemProps4.xml><?xml version="1.0" encoding="utf-8"?>
<ds:datastoreItem xmlns:ds="http://schemas.openxmlformats.org/officeDocument/2006/customXml" ds:itemID="{20F2D26D-A24D-43BE-92BD-77D6920759C1}"/>
</file>

<file path=docProps/app.xml><?xml version="1.0" encoding="utf-8"?>
<Properties xmlns="http://schemas.openxmlformats.org/officeDocument/2006/extended-properties" xmlns:vt="http://schemas.openxmlformats.org/officeDocument/2006/docPropsVTypes">
  <Template>Normal</Template>
  <TotalTime>38</TotalTime>
  <Pages>48</Pages>
  <Words>8503</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WA Local Government Grants Commission Annual Report 2015</vt:lpstr>
    </vt:vector>
  </TitlesOfParts>
  <Company>Department of Local Government and Communities ( DLGC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Local Government Grants Commission annual report 2015</dc:title>
  <dc:subject>WA Local Government Grants Commission Annual Report 2015</dc:subject>
  <dc:creator>Department of Local Government and Communities ( DLGC )</dc:creator>
  <cp:keywords>Local Government, Grants, Commission, WA, Annual Report, 2015</cp:keywords>
  <dc:description/>
  <cp:lastModifiedBy>Darrell Kelsey</cp:lastModifiedBy>
  <cp:revision>9</cp:revision>
  <cp:lastPrinted>2015-11-10T08:49:00Z</cp:lastPrinted>
  <dcterms:created xsi:type="dcterms:W3CDTF">2016-10-06T07:40:00Z</dcterms:created>
  <dcterms:modified xsi:type="dcterms:W3CDTF">2016-10-12T06:44:00Z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0x0101008E3D5FC63AB3434B9BA1B232DD1263B4</vt:lpwstr>
  </property>
</Properties>
</file>