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05D" w:rsidRPr="00B675E9" w:rsidRDefault="00D32D1D" w:rsidP="00B675E9">
      <w:pPr>
        <w:pStyle w:val="Heading1"/>
      </w:pPr>
      <w:r>
        <w:t xml:space="preserve">Regional Subsidiary and Regional Local Government - </w:t>
      </w:r>
      <w:r w:rsidR="002A4309" w:rsidRPr="00B675E9">
        <w:t xml:space="preserve">Comparison </w:t>
      </w:r>
      <w:r w:rsidR="00CC246E" w:rsidRPr="00B675E9">
        <w:t xml:space="preserve">of </w:t>
      </w:r>
      <w:r>
        <w:t>C</w:t>
      </w:r>
      <w:r w:rsidR="00CC246E" w:rsidRPr="00B675E9">
        <w:t xml:space="preserve">ollaborative </w:t>
      </w:r>
      <w:r>
        <w:t>M</w:t>
      </w:r>
      <w:r w:rsidR="00CC246E" w:rsidRPr="00B675E9">
        <w:t>odels</w:t>
      </w:r>
    </w:p>
    <w:tbl>
      <w:tblPr>
        <w:tblStyle w:val="TableGrid"/>
        <w:tblW w:w="9209" w:type="dxa"/>
        <w:tblLook w:val="04A0" w:firstRow="1" w:lastRow="0" w:firstColumn="1" w:lastColumn="0" w:noHBand="0" w:noVBand="1"/>
        <w:tblCaption w:val="Comparison of collaborative models"/>
        <w:tblDescription w:val="A regional subsidiary can deliver services and back office functions. A regional local government can carry out any activity that a local government may perform. Consultation is required for a regional subsidiary. It is also required for a regional local government if it involves major land transactions or major trading activities. Ministerial approval is required for both a regional subsidiary and a regional local government. In a regional subsidiary, disclosure of interest will be internally enforced. In a regional local government, disclosure is enforced by Ministerial oversight. A regional subsidiary must provide an annual budget and annual financial statement. A regional local government has full financial reporting obligations under the local government act. A regional subsidiary cannot participate in land transactions or trading undertakings. A regional local government can carry out land transactions or trading undertakings subject to compliance with the Local Government Act.  Regional subsidiaries are subject to restrictions on investment as provided under the Local Government Act. These same restrictions apply to a regional local government. A regional subsidiary can take out financial loans from member councils. A regional local government can take out loans as if it were a local government. The Board of a regional subsidiary is open to individuals who are not council members or local government employees. These individuals cannot sit on a regional local government board. The board members and employees of a regional subsidiary are legally protected when they carry out duties in good faith. This protection is the same as provided by regional local governments. The charter of a regional subsidiary can specify how board meetings, committee meetings and employment of staff should occur. A regional subsidiary must conduct these things in accordance with Part 5 of the Local Government Act. A regional subsidiary can specify whether their employees count as local government employees for the purposes of long service leave and superannuation legislation. In a regional local government, all employees are considered local government employees. The member councils of a regional subsidiary have a statutory right to obtain information from the subsidiary. In a regional local government, this right only exists if provided in the establishment agreement. In a regional subsidiary, public access to information is provided in the charter. In a regional local government, public access to information is specified in Part 5 Division 7 of the Local Government Act. Regional subsidiaries and regional local governments are both subject to freedom of information legislation."/>
      </w:tblPr>
      <w:tblGrid>
        <w:gridCol w:w="2886"/>
        <w:gridCol w:w="2886"/>
        <w:gridCol w:w="3437"/>
      </w:tblGrid>
      <w:tr w:rsidR="00B920F1" w:rsidRPr="00B675E9" w:rsidTr="00B675E9">
        <w:trPr>
          <w:cantSplit/>
          <w:trHeight w:val="603"/>
          <w:tblHeader/>
        </w:trPr>
        <w:tc>
          <w:tcPr>
            <w:tcW w:w="2886" w:type="dxa"/>
            <w:shd w:val="clear" w:color="auto" w:fill="F2F2F2" w:themeFill="background1" w:themeFillShade="F2"/>
          </w:tcPr>
          <w:p w:rsidR="009A6139" w:rsidRPr="00B675E9" w:rsidRDefault="009A6139" w:rsidP="00B675E9">
            <w:pPr>
              <w:spacing w:before="80" w:after="80"/>
              <w:rPr>
                <w:rFonts w:ascii="Arial" w:hAnsi="Arial" w:cs="Arial"/>
                <w:b/>
                <w:sz w:val="24"/>
                <w:szCs w:val="24"/>
              </w:rPr>
            </w:pPr>
            <w:r w:rsidRPr="00B675E9">
              <w:rPr>
                <w:rFonts w:ascii="Arial" w:hAnsi="Arial" w:cs="Arial"/>
                <w:b/>
                <w:sz w:val="24"/>
                <w:szCs w:val="24"/>
              </w:rPr>
              <w:t>Compa</w:t>
            </w:r>
            <w:r w:rsidR="00D94169" w:rsidRPr="00B675E9">
              <w:rPr>
                <w:rFonts w:ascii="Arial" w:hAnsi="Arial" w:cs="Arial"/>
                <w:b/>
                <w:sz w:val="24"/>
                <w:szCs w:val="24"/>
              </w:rPr>
              <w:t>rison</w:t>
            </w:r>
          </w:p>
        </w:tc>
        <w:tc>
          <w:tcPr>
            <w:tcW w:w="2886" w:type="dxa"/>
            <w:shd w:val="clear" w:color="auto" w:fill="F2F2F2" w:themeFill="background1" w:themeFillShade="F2"/>
          </w:tcPr>
          <w:p w:rsidR="00CC246E" w:rsidRPr="00B675E9" w:rsidRDefault="002A4309" w:rsidP="00B675E9">
            <w:pPr>
              <w:spacing w:before="80" w:after="80"/>
              <w:rPr>
                <w:rFonts w:ascii="Arial" w:hAnsi="Arial" w:cs="Arial"/>
                <w:b/>
                <w:sz w:val="24"/>
                <w:szCs w:val="24"/>
              </w:rPr>
            </w:pPr>
            <w:r w:rsidRPr="00B675E9">
              <w:rPr>
                <w:rFonts w:ascii="Arial" w:hAnsi="Arial" w:cs="Arial"/>
                <w:b/>
                <w:sz w:val="24"/>
                <w:szCs w:val="24"/>
              </w:rPr>
              <w:t>Regional Subsidiary</w:t>
            </w:r>
          </w:p>
        </w:tc>
        <w:tc>
          <w:tcPr>
            <w:tcW w:w="3437" w:type="dxa"/>
            <w:shd w:val="clear" w:color="auto" w:fill="F2F2F2" w:themeFill="background1" w:themeFillShade="F2"/>
          </w:tcPr>
          <w:p w:rsidR="002A4309" w:rsidRPr="00B675E9" w:rsidRDefault="002A4309" w:rsidP="00B675E9">
            <w:pPr>
              <w:spacing w:before="80" w:after="80"/>
              <w:rPr>
                <w:rFonts w:ascii="Arial" w:hAnsi="Arial" w:cs="Arial"/>
                <w:b/>
                <w:sz w:val="24"/>
                <w:szCs w:val="24"/>
              </w:rPr>
            </w:pPr>
            <w:r w:rsidRPr="00B675E9">
              <w:rPr>
                <w:rFonts w:ascii="Arial" w:hAnsi="Arial" w:cs="Arial"/>
                <w:b/>
                <w:sz w:val="24"/>
                <w:szCs w:val="24"/>
              </w:rPr>
              <w:t>Regional Local Government</w:t>
            </w:r>
          </w:p>
          <w:p w:rsidR="00100DE5" w:rsidRPr="00B675E9" w:rsidRDefault="00100DE5" w:rsidP="00B675E9">
            <w:pPr>
              <w:spacing w:before="80" w:after="80"/>
              <w:rPr>
                <w:rFonts w:ascii="Arial" w:hAnsi="Arial" w:cs="Arial"/>
                <w:b/>
                <w:sz w:val="24"/>
                <w:szCs w:val="24"/>
              </w:rPr>
            </w:pPr>
            <w:r w:rsidRPr="00B675E9">
              <w:rPr>
                <w:rFonts w:ascii="Arial" w:hAnsi="Arial" w:cs="Arial"/>
                <w:b/>
                <w:sz w:val="24"/>
                <w:szCs w:val="24"/>
              </w:rPr>
              <w:t>(Regional Council)</w:t>
            </w:r>
          </w:p>
        </w:tc>
      </w:tr>
      <w:tr w:rsidR="002A4309" w:rsidRPr="00B675E9" w:rsidTr="00B675E9">
        <w:trPr>
          <w:cantSplit/>
          <w:trHeight w:val="620"/>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Activities</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Delivery of services and back office functions</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Any activity that an individual local government may perform</w:t>
            </w:r>
          </w:p>
        </w:tc>
      </w:tr>
      <w:tr w:rsidR="00864B88" w:rsidRPr="00B675E9" w:rsidTr="00B675E9">
        <w:trPr>
          <w:cantSplit/>
          <w:trHeight w:val="728"/>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Public consultation required to establish</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 – if major land transaction or trading activity is involved</w:t>
            </w:r>
          </w:p>
        </w:tc>
      </w:tr>
      <w:tr w:rsidR="00864B88" w:rsidRPr="00B675E9" w:rsidTr="00B675E9">
        <w:trPr>
          <w:cantSplit/>
          <w:trHeight w:val="468"/>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Ministerial approval required to establish</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r>
      <w:tr w:rsidR="00864B88" w:rsidRPr="00B675E9" w:rsidTr="00B675E9">
        <w:trPr>
          <w:cantSplit/>
          <w:trHeight w:val="342"/>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Disclosure of interest</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Internal enforcement</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Ministerial enforcement</w:t>
            </w:r>
          </w:p>
        </w:tc>
      </w:tr>
      <w:tr w:rsidR="00864B88" w:rsidRPr="00B675E9" w:rsidTr="00B675E9">
        <w:trPr>
          <w:cantSplit/>
          <w:trHeight w:val="727"/>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Compulsory financial reporting</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Annual budget and annual financial statement required</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Full reporting obligations apply</w:t>
            </w:r>
          </w:p>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 xml:space="preserve"> </w:t>
            </w:r>
          </w:p>
        </w:tc>
      </w:tr>
      <w:tr w:rsidR="00864B88" w:rsidRPr="00B675E9" w:rsidTr="00B675E9">
        <w:trPr>
          <w:cantSplit/>
          <w:trHeight w:val="420"/>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Land transactions and trading undertakings</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No</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r>
      <w:tr w:rsidR="00864B88" w:rsidRPr="00B675E9" w:rsidTr="00B675E9">
        <w:trPr>
          <w:cantSplit/>
          <w:trHeight w:val="410"/>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Restriction on investment</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r>
      <w:tr w:rsidR="00864B88" w:rsidRPr="00B675E9" w:rsidTr="00B675E9">
        <w:trPr>
          <w:cantSplit/>
          <w:trHeight w:val="465"/>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Financial loans</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From member councils only</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r>
      <w:tr w:rsidR="00864B88" w:rsidRPr="00B675E9" w:rsidTr="00B675E9">
        <w:trPr>
          <w:cantSplit/>
          <w:trHeight w:val="277"/>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Tender requirements</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r>
      <w:tr w:rsidR="00864B88" w:rsidRPr="00B675E9" w:rsidTr="00B675E9">
        <w:trPr>
          <w:cantSplit/>
          <w:trHeight w:val="599"/>
        </w:trPr>
        <w:tc>
          <w:tcPr>
            <w:tcW w:w="2886" w:type="dxa"/>
          </w:tcPr>
          <w:p w:rsidR="00864B88" w:rsidRPr="00B675E9" w:rsidRDefault="00864B88" w:rsidP="008718F6">
            <w:pPr>
              <w:spacing w:before="80" w:after="80"/>
              <w:rPr>
                <w:rFonts w:ascii="Arial" w:hAnsi="Arial" w:cs="Arial"/>
                <w:b/>
                <w:sz w:val="24"/>
                <w:szCs w:val="24"/>
              </w:rPr>
            </w:pPr>
            <w:r w:rsidRPr="00B675E9">
              <w:rPr>
                <w:rFonts w:ascii="Arial" w:hAnsi="Arial" w:cs="Arial"/>
                <w:b/>
                <w:sz w:val="24"/>
                <w:szCs w:val="24"/>
              </w:rPr>
              <w:t>Board restricted to council members/</w:t>
            </w:r>
            <w:r w:rsidR="008718F6">
              <w:rPr>
                <w:rFonts w:ascii="Arial" w:hAnsi="Arial" w:cs="Arial"/>
                <w:b/>
                <w:sz w:val="24"/>
                <w:szCs w:val="24"/>
              </w:rPr>
              <w:br/>
              <w:t>local government</w:t>
            </w:r>
            <w:r w:rsidRPr="00B675E9">
              <w:rPr>
                <w:rFonts w:ascii="Arial" w:hAnsi="Arial" w:cs="Arial"/>
                <w:b/>
                <w:sz w:val="24"/>
                <w:szCs w:val="24"/>
              </w:rPr>
              <w:t xml:space="preserve"> employees</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No</w:t>
            </w:r>
          </w:p>
        </w:tc>
        <w:tc>
          <w:tcPr>
            <w:tcW w:w="3437" w:type="dxa"/>
            <w:shd w:val="clear" w:color="auto" w:fill="auto"/>
          </w:tcPr>
          <w:p w:rsidR="00864B88" w:rsidRPr="00B675E9" w:rsidRDefault="00864B88" w:rsidP="00B675E9">
            <w:pPr>
              <w:spacing w:before="80" w:after="80"/>
              <w:rPr>
                <w:rFonts w:ascii="Arial" w:hAnsi="Arial" w:cs="Arial"/>
                <w:sz w:val="24"/>
                <w:szCs w:val="24"/>
              </w:rPr>
            </w:pPr>
          </w:p>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r>
      <w:tr w:rsidR="00864B88" w:rsidRPr="00B675E9" w:rsidTr="00B675E9">
        <w:trPr>
          <w:cantSplit/>
          <w:trHeight w:val="647"/>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Legal protection for actions taken in good faith</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r>
      <w:tr w:rsidR="00864B88" w:rsidRPr="00B675E9" w:rsidTr="00B675E9">
        <w:trPr>
          <w:cantSplit/>
          <w:trHeight w:val="627"/>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Board meetings</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As prescribed in charter</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i/>
                <w:sz w:val="24"/>
                <w:szCs w:val="24"/>
              </w:rPr>
              <w:t>Local Government Act 1995</w:t>
            </w:r>
            <w:r w:rsidRPr="00B675E9">
              <w:rPr>
                <w:rFonts w:ascii="Arial" w:hAnsi="Arial" w:cs="Arial"/>
                <w:sz w:val="24"/>
                <w:szCs w:val="24"/>
              </w:rPr>
              <w:t xml:space="preserve"> – Part 5 Division 2</w:t>
            </w:r>
          </w:p>
        </w:tc>
      </w:tr>
      <w:tr w:rsidR="00864B88" w:rsidRPr="00B675E9" w:rsidTr="00B675E9">
        <w:trPr>
          <w:cantSplit/>
          <w:trHeight w:val="600"/>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Committee meetings</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Prescribed in charter</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i/>
                <w:sz w:val="24"/>
                <w:szCs w:val="24"/>
              </w:rPr>
              <w:t>Local Government Act 1995</w:t>
            </w:r>
            <w:r w:rsidRPr="00B675E9">
              <w:rPr>
                <w:rFonts w:ascii="Arial" w:hAnsi="Arial" w:cs="Arial"/>
                <w:sz w:val="24"/>
                <w:szCs w:val="24"/>
              </w:rPr>
              <w:t xml:space="preserve"> – Part 5 Division 2</w:t>
            </w:r>
          </w:p>
        </w:tc>
      </w:tr>
      <w:tr w:rsidR="00864B88" w:rsidRPr="00B675E9" w:rsidTr="00B675E9">
        <w:trPr>
          <w:cantSplit/>
          <w:trHeight w:val="403"/>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lastRenderedPageBreak/>
              <w:t>Employment of staff</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As provided in charter</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i/>
                <w:sz w:val="24"/>
                <w:szCs w:val="24"/>
              </w:rPr>
              <w:t>Local Government Act 1995</w:t>
            </w:r>
            <w:r w:rsidRPr="00B675E9">
              <w:rPr>
                <w:rFonts w:ascii="Arial" w:hAnsi="Arial" w:cs="Arial"/>
                <w:sz w:val="24"/>
                <w:szCs w:val="24"/>
              </w:rPr>
              <w:t xml:space="preserve"> – Part 5 Division 4</w:t>
            </w:r>
          </w:p>
        </w:tc>
      </w:tr>
      <w:tr w:rsidR="00864B88" w:rsidRPr="00B675E9" w:rsidTr="00B675E9">
        <w:trPr>
          <w:cantSplit/>
          <w:trHeight w:val="976"/>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Minimum benefits for</w:t>
            </w:r>
            <w:r w:rsidRPr="00B675E9">
              <w:rPr>
                <w:rFonts w:ascii="Arial" w:hAnsi="Arial" w:cs="Arial"/>
                <w:b/>
                <w:sz w:val="24"/>
                <w:szCs w:val="24"/>
              </w:rPr>
              <w:br/>
              <w:t>long service leave and superannuation</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 xml:space="preserve">As provided in charter </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Long Service Leave and Superannuation Regulations apply to all staff</w:t>
            </w:r>
          </w:p>
        </w:tc>
      </w:tr>
      <w:tr w:rsidR="00864B88" w:rsidRPr="00B675E9" w:rsidTr="00B675E9">
        <w:trPr>
          <w:cantSplit/>
          <w:trHeight w:val="621"/>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Member councils may request information</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Statutory right</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 xml:space="preserve">As provided in </w:t>
            </w:r>
            <w:r w:rsidR="008718F6">
              <w:rPr>
                <w:rFonts w:ascii="Arial" w:hAnsi="Arial" w:cs="Arial"/>
                <w:sz w:val="24"/>
                <w:szCs w:val="24"/>
              </w:rPr>
              <w:t>E</w:t>
            </w:r>
            <w:r w:rsidRPr="00B675E9">
              <w:rPr>
                <w:rFonts w:ascii="Arial" w:hAnsi="Arial" w:cs="Arial"/>
                <w:sz w:val="24"/>
                <w:szCs w:val="24"/>
              </w:rPr>
              <w:t xml:space="preserve">stablishment </w:t>
            </w:r>
            <w:r w:rsidR="008718F6">
              <w:rPr>
                <w:rFonts w:ascii="Arial" w:hAnsi="Arial" w:cs="Arial"/>
                <w:sz w:val="24"/>
                <w:szCs w:val="24"/>
              </w:rPr>
              <w:t>A</w:t>
            </w:r>
            <w:bookmarkStart w:id="0" w:name="_GoBack"/>
            <w:bookmarkEnd w:id="0"/>
            <w:r w:rsidRPr="00B675E9">
              <w:rPr>
                <w:rFonts w:ascii="Arial" w:hAnsi="Arial" w:cs="Arial"/>
                <w:sz w:val="24"/>
                <w:szCs w:val="24"/>
              </w:rPr>
              <w:t>greement</w:t>
            </w:r>
          </w:p>
        </w:tc>
      </w:tr>
      <w:tr w:rsidR="00864B88" w:rsidRPr="00B675E9" w:rsidTr="00B675E9">
        <w:trPr>
          <w:cantSplit/>
          <w:trHeight w:val="671"/>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General public access to information</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Prescribed in charter</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i/>
                <w:sz w:val="24"/>
                <w:szCs w:val="24"/>
              </w:rPr>
              <w:t>Local Government Act 1995</w:t>
            </w:r>
            <w:r w:rsidRPr="00B675E9">
              <w:rPr>
                <w:rFonts w:ascii="Arial" w:hAnsi="Arial" w:cs="Arial"/>
                <w:sz w:val="24"/>
                <w:szCs w:val="24"/>
              </w:rPr>
              <w:t xml:space="preserve"> –</w:t>
            </w:r>
          </w:p>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Part 5 Division 7</w:t>
            </w:r>
          </w:p>
        </w:tc>
      </w:tr>
      <w:tr w:rsidR="00864B88" w:rsidRPr="00B675E9" w:rsidTr="00B675E9">
        <w:trPr>
          <w:cantSplit/>
          <w:trHeight w:val="671"/>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 xml:space="preserve">Freedom of Information </w:t>
            </w:r>
            <w:r w:rsidR="008718F6">
              <w:rPr>
                <w:rFonts w:ascii="Arial" w:hAnsi="Arial" w:cs="Arial"/>
                <w:b/>
                <w:sz w:val="24"/>
                <w:szCs w:val="24"/>
              </w:rPr>
              <w:t>l</w:t>
            </w:r>
            <w:r w:rsidRPr="00B675E9">
              <w:rPr>
                <w:rFonts w:ascii="Arial" w:hAnsi="Arial" w:cs="Arial"/>
                <w:b/>
                <w:sz w:val="24"/>
                <w:szCs w:val="24"/>
              </w:rPr>
              <w:t>egislation applies</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r>
      <w:tr w:rsidR="00864B88" w:rsidRPr="00B675E9" w:rsidTr="00B675E9">
        <w:trPr>
          <w:cantSplit/>
          <w:trHeight w:val="577"/>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Payments and gifts</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Prescribed in charter</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i/>
                <w:sz w:val="24"/>
                <w:szCs w:val="24"/>
              </w:rPr>
              <w:t>Local Government Act 1995</w:t>
            </w:r>
            <w:r w:rsidRPr="00B675E9">
              <w:rPr>
                <w:rFonts w:ascii="Arial" w:hAnsi="Arial" w:cs="Arial"/>
                <w:sz w:val="24"/>
                <w:szCs w:val="24"/>
              </w:rPr>
              <w:t xml:space="preserve"> -</w:t>
            </w:r>
            <w:r w:rsidRPr="00B675E9">
              <w:rPr>
                <w:rFonts w:ascii="Arial" w:hAnsi="Arial" w:cs="Arial"/>
                <w:sz w:val="24"/>
                <w:szCs w:val="24"/>
              </w:rPr>
              <w:br/>
              <w:t>Part 5 Division 8</w:t>
            </w:r>
          </w:p>
        </w:tc>
      </w:tr>
      <w:tr w:rsidR="00864B88" w:rsidRPr="00B675E9" w:rsidTr="00B675E9">
        <w:trPr>
          <w:cantSplit/>
          <w:trHeight w:val="610"/>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Conduct of officials</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Prescribed in charter</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i/>
                <w:sz w:val="24"/>
                <w:szCs w:val="24"/>
              </w:rPr>
              <w:t xml:space="preserve">Local Government Act 1995 </w:t>
            </w:r>
            <w:r w:rsidRPr="00B675E9">
              <w:rPr>
                <w:rFonts w:ascii="Arial" w:hAnsi="Arial" w:cs="Arial"/>
                <w:sz w:val="24"/>
                <w:szCs w:val="24"/>
              </w:rPr>
              <w:t>–</w:t>
            </w:r>
          </w:p>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Part 5 Division 9</w:t>
            </w:r>
          </w:p>
        </w:tc>
      </w:tr>
      <w:tr w:rsidR="00864B88" w:rsidRPr="00B675E9" w:rsidTr="00B675E9">
        <w:trPr>
          <w:cantSplit/>
          <w:trHeight w:val="361"/>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Fees for goods/services</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r>
      <w:tr w:rsidR="00864B88" w:rsidRPr="00B675E9" w:rsidTr="00B675E9">
        <w:trPr>
          <w:cantSplit/>
          <w:trHeight w:val="599"/>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May be</w:t>
            </w:r>
            <w:r w:rsidR="00B7346F" w:rsidRPr="00B675E9">
              <w:rPr>
                <w:rFonts w:ascii="Arial" w:hAnsi="Arial" w:cs="Arial"/>
                <w:b/>
                <w:sz w:val="24"/>
                <w:szCs w:val="24"/>
              </w:rPr>
              <w:t xml:space="preserve"> subject to Ministerial inquiry</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c>
          <w:tcPr>
            <w:tcW w:w="3437"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Yes</w:t>
            </w:r>
          </w:p>
        </w:tc>
      </w:tr>
      <w:tr w:rsidR="00864B88" w:rsidRPr="00B675E9" w:rsidTr="00B675E9">
        <w:trPr>
          <w:cantSplit/>
          <w:trHeight w:val="583"/>
        </w:trPr>
        <w:tc>
          <w:tcPr>
            <w:tcW w:w="2886" w:type="dxa"/>
          </w:tcPr>
          <w:p w:rsidR="00864B88" w:rsidRPr="00B675E9" w:rsidRDefault="00864B88" w:rsidP="00B675E9">
            <w:pPr>
              <w:spacing w:before="80" w:after="80"/>
              <w:rPr>
                <w:rFonts w:ascii="Arial" w:hAnsi="Arial" w:cs="Arial"/>
                <w:b/>
                <w:sz w:val="24"/>
                <w:szCs w:val="24"/>
              </w:rPr>
            </w:pPr>
            <w:r w:rsidRPr="00B675E9">
              <w:rPr>
                <w:rFonts w:ascii="Arial" w:hAnsi="Arial" w:cs="Arial"/>
                <w:b/>
                <w:sz w:val="24"/>
                <w:szCs w:val="24"/>
              </w:rPr>
              <w:t>Decisions subject to administrative review</w:t>
            </w:r>
          </w:p>
        </w:tc>
        <w:tc>
          <w:tcPr>
            <w:tcW w:w="2886" w:type="dxa"/>
            <w:shd w:val="clear" w:color="auto" w:fill="auto"/>
          </w:tcPr>
          <w:p w:rsidR="00864B88" w:rsidRPr="00B675E9" w:rsidRDefault="00864B88" w:rsidP="00B675E9">
            <w:pPr>
              <w:spacing w:before="80" w:after="80"/>
              <w:rPr>
                <w:rFonts w:ascii="Arial" w:hAnsi="Arial" w:cs="Arial"/>
                <w:sz w:val="24"/>
                <w:szCs w:val="24"/>
              </w:rPr>
            </w:pPr>
            <w:r w:rsidRPr="00B675E9">
              <w:rPr>
                <w:rFonts w:ascii="Arial" w:hAnsi="Arial" w:cs="Arial"/>
                <w:sz w:val="24"/>
                <w:szCs w:val="24"/>
              </w:rPr>
              <w:t>No</w:t>
            </w:r>
          </w:p>
        </w:tc>
        <w:tc>
          <w:tcPr>
            <w:tcW w:w="3437" w:type="dxa"/>
            <w:shd w:val="clear" w:color="auto" w:fill="auto"/>
          </w:tcPr>
          <w:p w:rsidR="009A6139" w:rsidRPr="00B675E9" w:rsidRDefault="00864B88" w:rsidP="00B675E9">
            <w:pPr>
              <w:spacing w:before="80" w:after="80"/>
              <w:rPr>
                <w:rFonts w:ascii="Arial" w:hAnsi="Arial" w:cs="Arial"/>
                <w:sz w:val="24"/>
                <w:szCs w:val="24"/>
              </w:rPr>
            </w:pPr>
            <w:r w:rsidRPr="00B675E9">
              <w:rPr>
                <w:rFonts w:ascii="Arial" w:hAnsi="Arial" w:cs="Arial"/>
                <w:i/>
                <w:sz w:val="24"/>
                <w:szCs w:val="24"/>
              </w:rPr>
              <w:t>Local Government Act 1995</w:t>
            </w:r>
            <w:r w:rsidRPr="00B675E9">
              <w:rPr>
                <w:rFonts w:ascii="Arial" w:hAnsi="Arial" w:cs="Arial"/>
                <w:sz w:val="24"/>
                <w:szCs w:val="24"/>
              </w:rPr>
              <w:t xml:space="preserve"> – Part 9</w:t>
            </w:r>
          </w:p>
        </w:tc>
      </w:tr>
    </w:tbl>
    <w:p w:rsidR="006535B3" w:rsidRPr="00B675E9" w:rsidRDefault="006535B3" w:rsidP="00B675E9"/>
    <w:sectPr w:rsidR="006535B3" w:rsidRPr="00B675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119" w:rsidRDefault="00586119" w:rsidP="00DE38C5">
      <w:pPr>
        <w:spacing w:after="0" w:line="240" w:lineRule="auto"/>
      </w:pPr>
      <w:r>
        <w:separator/>
      </w:r>
    </w:p>
  </w:endnote>
  <w:endnote w:type="continuationSeparator" w:id="0">
    <w:p w:rsidR="00586119" w:rsidRDefault="00586119" w:rsidP="00DE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8F6" w:rsidRPr="008718F6" w:rsidRDefault="00D32D1D" w:rsidP="008718F6">
    <w:pPr>
      <w:pStyle w:val="Footer"/>
      <w:rPr>
        <w:rFonts w:ascii="Arial" w:hAnsi="Arial"/>
        <w:sz w:val="20"/>
        <w:szCs w:val="20"/>
      </w:rPr>
    </w:pPr>
    <w:r>
      <w:rPr>
        <w:rFonts w:ascii="Arial" w:hAnsi="Arial" w:cs="Arial"/>
        <w:snapToGrid w:val="0"/>
        <w:sz w:val="20"/>
        <w:szCs w:val="20"/>
      </w:rPr>
      <w:t xml:space="preserve">Regional Subsidiary and Regional </w:t>
    </w:r>
    <w:r w:rsidRPr="00D32D1D">
      <w:rPr>
        <w:rFonts w:ascii="Arial" w:hAnsi="Arial" w:cs="Arial"/>
        <w:snapToGrid w:val="0"/>
        <w:sz w:val="20"/>
        <w:szCs w:val="20"/>
      </w:rPr>
      <w:t xml:space="preserve">Local Government </w:t>
    </w:r>
    <w:r>
      <w:rPr>
        <w:rFonts w:ascii="Arial" w:hAnsi="Arial" w:cs="Arial"/>
        <w:snapToGrid w:val="0"/>
        <w:sz w:val="20"/>
        <w:szCs w:val="20"/>
      </w:rPr>
      <w:t>Comparison of Collaborative Models</w:t>
    </w:r>
    <w:r w:rsidR="008718F6">
      <w:rPr>
        <w:rFonts w:ascii="Arial" w:hAnsi="Arial" w:cs="Arial"/>
        <w:snapToGrid w:val="0"/>
        <w:sz w:val="20"/>
        <w:szCs w:val="20"/>
      </w:rPr>
      <w:tab/>
    </w:r>
    <w:r w:rsidR="008718F6">
      <w:rPr>
        <w:rFonts w:ascii="Arial" w:hAnsi="Arial" w:cs="Arial"/>
        <w:sz w:val="20"/>
        <w:szCs w:val="20"/>
      </w:rPr>
      <w:t xml:space="preserve"> - </w:t>
    </w:r>
    <w:r w:rsidR="008718F6" w:rsidRPr="008718F6">
      <w:rPr>
        <w:rFonts w:ascii="Arial" w:hAnsi="Arial" w:cs="Arial"/>
        <w:sz w:val="20"/>
        <w:szCs w:val="20"/>
      </w:rPr>
      <w:t xml:space="preserve">Page </w:t>
    </w:r>
    <w:r w:rsidR="008718F6" w:rsidRPr="008718F6">
      <w:rPr>
        <w:rFonts w:ascii="Arial" w:hAnsi="Arial" w:cs="Arial"/>
        <w:b/>
        <w:sz w:val="20"/>
        <w:szCs w:val="20"/>
      </w:rPr>
      <w:fldChar w:fldCharType="begin"/>
    </w:r>
    <w:r w:rsidR="008718F6" w:rsidRPr="008718F6">
      <w:rPr>
        <w:rFonts w:ascii="Arial" w:hAnsi="Arial" w:cs="Arial"/>
        <w:b/>
        <w:sz w:val="20"/>
        <w:szCs w:val="20"/>
      </w:rPr>
      <w:instrText xml:space="preserve"> PAGE </w:instrText>
    </w:r>
    <w:r w:rsidR="008718F6" w:rsidRPr="008718F6">
      <w:rPr>
        <w:rFonts w:ascii="Arial" w:hAnsi="Arial" w:cs="Arial"/>
        <w:b/>
        <w:sz w:val="20"/>
        <w:szCs w:val="20"/>
      </w:rPr>
      <w:fldChar w:fldCharType="separate"/>
    </w:r>
    <w:r w:rsidR="008718F6">
      <w:rPr>
        <w:rFonts w:ascii="Arial" w:hAnsi="Arial" w:cs="Arial"/>
        <w:b/>
        <w:noProof/>
        <w:sz w:val="20"/>
        <w:szCs w:val="20"/>
      </w:rPr>
      <w:t>2</w:t>
    </w:r>
    <w:r w:rsidR="008718F6" w:rsidRPr="008718F6">
      <w:rPr>
        <w:rFonts w:ascii="Arial" w:hAnsi="Arial" w:cs="Arial"/>
        <w:b/>
        <w:sz w:val="20"/>
        <w:szCs w:val="20"/>
      </w:rPr>
      <w:fldChar w:fldCharType="end"/>
    </w:r>
    <w:r w:rsidR="008718F6" w:rsidRPr="008718F6">
      <w:rPr>
        <w:rFonts w:ascii="Arial" w:hAnsi="Arial" w:cs="Arial"/>
        <w:sz w:val="20"/>
        <w:szCs w:val="20"/>
      </w:rPr>
      <w:t xml:space="preserve"> of </w:t>
    </w:r>
    <w:r w:rsidR="008718F6">
      <w:rPr>
        <w:rFonts w:ascii="Arial" w:hAnsi="Arial" w:cs="Arial"/>
        <w:sz w:val="20"/>
        <w:szCs w:val="20"/>
      </w:rPr>
      <w:t>2</w:t>
    </w:r>
  </w:p>
  <w:p w:rsidR="00D32D1D" w:rsidRPr="00D32D1D" w:rsidRDefault="00D32D1D">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119" w:rsidRDefault="00586119" w:rsidP="00DE38C5">
      <w:pPr>
        <w:spacing w:after="0" w:line="240" w:lineRule="auto"/>
      </w:pPr>
      <w:r>
        <w:separator/>
      </w:r>
    </w:p>
  </w:footnote>
  <w:footnote w:type="continuationSeparator" w:id="0">
    <w:p w:rsidR="00586119" w:rsidRDefault="00586119" w:rsidP="00DE38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09"/>
    <w:rsid w:val="000C4DA9"/>
    <w:rsid w:val="000F55B1"/>
    <w:rsid w:val="00100B54"/>
    <w:rsid w:val="00100DE5"/>
    <w:rsid w:val="001D0CC1"/>
    <w:rsid w:val="001D7C72"/>
    <w:rsid w:val="002A4309"/>
    <w:rsid w:val="002C5498"/>
    <w:rsid w:val="00385CE2"/>
    <w:rsid w:val="0041474A"/>
    <w:rsid w:val="004238DD"/>
    <w:rsid w:val="004439B4"/>
    <w:rsid w:val="004569EF"/>
    <w:rsid w:val="00586119"/>
    <w:rsid w:val="006535B3"/>
    <w:rsid w:val="00694FF9"/>
    <w:rsid w:val="006C04FD"/>
    <w:rsid w:val="00720CDB"/>
    <w:rsid w:val="007B1A24"/>
    <w:rsid w:val="00864B88"/>
    <w:rsid w:val="008718F6"/>
    <w:rsid w:val="009201A4"/>
    <w:rsid w:val="009A6139"/>
    <w:rsid w:val="009A7405"/>
    <w:rsid w:val="009C5555"/>
    <w:rsid w:val="00A15175"/>
    <w:rsid w:val="00B002BF"/>
    <w:rsid w:val="00B218F4"/>
    <w:rsid w:val="00B675E9"/>
    <w:rsid w:val="00B7346F"/>
    <w:rsid w:val="00B83069"/>
    <w:rsid w:val="00B920F1"/>
    <w:rsid w:val="00BD205D"/>
    <w:rsid w:val="00BD7B6C"/>
    <w:rsid w:val="00CC246E"/>
    <w:rsid w:val="00CF5B50"/>
    <w:rsid w:val="00D32D1D"/>
    <w:rsid w:val="00D4130A"/>
    <w:rsid w:val="00D4403C"/>
    <w:rsid w:val="00D91799"/>
    <w:rsid w:val="00D94169"/>
    <w:rsid w:val="00DE38C5"/>
    <w:rsid w:val="00F0285A"/>
    <w:rsid w:val="00F3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922BF-2B2F-4D94-81F9-7111E702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20F1"/>
    <w:pPr>
      <w:keepNext/>
      <w:keepLines/>
      <w:spacing w:after="360" w:line="264" w:lineRule="auto"/>
      <w:outlineLvl w:val="0"/>
    </w:pPr>
    <w:rPr>
      <w:rFonts w:ascii="Arial" w:eastAsia="Times New Roman" w:hAnsi="Arial" w:cs="Arial"/>
      <w:b/>
      <w:sz w:val="30"/>
      <w:szCs w:val="30"/>
      <w:lang w:val="en-AU"/>
    </w:rPr>
  </w:style>
  <w:style w:type="paragraph" w:styleId="Heading2">
    <w:name w:val="heading 2"/>
    <w:basedOn w:val="Normal"/>
    <w:next w:val="Normal"/>
    <w:link w:val="Heading2Char"/>
    <w:uiPriority w:val="9"/>
    <w:unhideWhenUsed/>
    <w:qFormat/>
    <w:rsid w:val="009A61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99"/>
    <w:rPr>
      <w:rFonts w:ascii="Segoe UI" w:hAnsi="Segoe UI" w:cs="Segoe UI"/>
      <w:sz w:val="18"/>
      <w:szCs w:val="18"/>
    </w:rPr>
  </w:style>
  <w:style w:type="character" w:customStyle="1" w:styleId="Heading1Char">
    <w:name w:val="Heading 1 Char"/>
    <w:basedOn w:val="DefaultParagraphFont"/>
    <w:link w:val="Heading1"/>
    <w:uiPriority w:val="9"/>
    <w:rsid w:val="00B920F1"/>
    <w:rPr>
      <w:rFonts w:ascii="Arial" w:eastAsia="Times New Roman" w:hAnsi="Arial" w:cs="Arial"/>
      <w:b/>
      <w:sz w:val="30"/>
      <w:szCs w:val="30"/>
      <w:lang w:val="en-AU"/>
    </w:rPr>
  </w:style>
  <w:style w:type="character" w:customStyle="1" w:styleId="Heading2Char">
    <w:name w:val="Heading 2 Char"/>
    <w:basedOn w:val="DefaultParagraphFont"/>
    <w:link w:val="Heading2"/>
    <w:uiPriority w:val="9"/>
    <w:rsid w:val="009A613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E3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8C5"/>
  </w:style>
  <w:style w:type="paragraph" w:styleId="Footer">
    <w:name w:val="footer"/>
    <w:basedOn w:val="Normal"/>
    <w:link w:val="FooterChar"/>
    <w:uiPriority w:val="99"/>
    <w:unhideWhenUsed/>
    <w:rsid w:val="00DE3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31729-AE5B-4EC9-A056-3DB3A7F8EC5D}"/>
</file>

<file path=customXml/itemProps2.xml><?xml version="1.0" encoding="utf-8"?>
<ds:datastoreItem xmlns:ds="http://schemas.openxmlformats.org/officeDocument/2006/customXml" ds:itemID="{7C37148F-FEAA-4CB1-80B4-87DEEC2E18A7}"/>
</file>

<file path=customXml/itemProps3.xml><?xml version="1.0" encoding="utf-8"?>
<ds:datastoreItem xmlns:ds="http://schemas.openxmlformats.org/officeDocument/2006/customXml" ds:itemID="{EC1AC0D6-BD7C-4767-BAE7-E8F60877274E}"/>
</file>

<file path=docProps/app.xml><?xml version="1.0" encoding="utf-8"?>
<Properties xmlns="http://schemas.openxmlformats.org/officeDocument/2006/extended-properties" xmlns:vt="http://schemas.openxmlformats.org/officeDocument/2006/docPropsVTypes">
  <Template>Normal</Template>
  <TotalTime>166</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Local Government and Communities ( DLGC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Subsidiary and Regional Local Government - Comparison of Collaborative Models</dc:title>
  <dc:subject>Regional Subsidiary and Regional Local Government - Comparison of Collaborative Models</dc:subject>
  <dc:creator>Steven Elliott</dc:creator>
  <cp:keywords>Regional Subsidiary and Regional Local Government - Comparison of Collaborative Models</cp:keywords>
  <dc:description/>
  <cp:lastModifiedBy>Claire Havard</cp:lastModifiedBy>
  <cp:revision>53</cp:revision>
  <cp:lastPrinted>2017-01-17T09:39:00Z</cp:lastPrinted>
  <dcterms:created xsi:type="dcterms:W3CDTF">2017-01-10T08:30:00Z</dcterms:created>
  <dcterms:modified xsi:type="dcterms:W3CDTF">2017-01-18T01:40:00Z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