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2B3" w:rsidRPr="007433B0" w:rsidRDefault="001D22B3" w:rsidP="00860F4E">
      <w:pPr>
        <w:pStyle w:val="BodyText"/>
        <w:rPr>
          <w:rFonts w:cstheme="minorHAnsi"/>
          <w:sz w:val="22"/>
          <w:szCs w:val="22"/>
        </w:rPr>
      </w:pPr>
      <w:r w:rsidRPr="007433B0">
        <w:rPr>
          <w:rFonts w:cstheme="minorHAnsi"/>
          <w:noProof/>
          <w:sz w:val="22"/>
          <w:szCs w:val="22"/>
          <w:lang w:eastAsia="en-AU"/>
        </w:rPr>
        <mc:AlternateContent>
          <mc:Choice Requires="wps">
            <w:drawing>
              <wp:anchor distT="45720" distB="45720" distL="114300" distR="114300" simplePos="0" relativeHeight="251659264" behindDoc="0" locked="0" layoutInCell="1" allowOverlap="1">
                <wp:simplePos x="0" y="0"/>
                <wp:positionH relativeFrom="column">
                  <wp:posOffset>5132705</wp:posOffset>
                </wp:positionH>
                <wp:positionV relativeFrom="paragraph">
                  <wp:posOffset>0</wp:posOffset>
                </wp:positionV>
                <wp:extent cx="10191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solidFill>
                          <a:srgbClr val="FFFFFF"/>
                        </a:solidFill>
                        <a:ln w="9525">
                          <a:solidFill>
                            <a:srgbClr val="000000"/>
                          </a:solidFill>
                          <a:miter lim="800000"/>
                          <a:headEnd/>
                          <a:tailEnd/>
                        </a:ln>
                      </wps:spPr>
                      <wps:txbx>
                        <w:txbxContent>
                          <w:p w:rsidR="001D22B3" w:rsidRPr="00D57959" w:rsidRDefault="00D57959">
                            <w:pPr>
                              <w:rPr>
                                <w:b/>
                                <w:lang w:val="en-US"/>
                              </w:rPr>
                            </w:pPr>
                            <w:r>
                              <w:rPr>
                                <w:b/>
                                <w:lang w:val="en-US"/>
                              </w:rPr>
                              <w:t>L</w:t>
                            </w:r>
                            <w:r w:rsidR="00467F99">
                              <w:rPr>
                                <w:b/>
                                <w:lang w:val="en-US"/>
                              </w:rPr>
                              <w:t>C 14/2019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15pt;margin-top:0;width:80.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">
                <v:textbox>
                  <w:txbxContent>
                    <w:p w:rsidR="001D22B3" w:rsidRPr="00D57959" w:rsidRDefault="00D57959">
                      <w:pPr>
                        <w:rPr>
                          <w:b/>
                          <w:lang w:val="en-US"/>
                        </w:rPr>
                      </w:pPr>
                      <w:r>
                        <w:rPr>
                          <w:b/>
                          <w:lang w:val="en-US"/>
                        </w:rPr>
                        <w:t>L</w:t>
                      </w:r>
                      <w:r w:rsidR="00467F99">
                        <w:rPr>
                          <w:b/>
                          <w:lang w:val="en-US"/>
                        </w:rPr>
                        <w:t>C 14/2019</w:t>
                      </w:r>
                    </w:p>
                  </w:txbxContent>
                </v:textbox>
                <w10:wrap type="square"/>
              </v:shape>
            </w:pict>
          </mc:Fallback>
        </mc:AlternateContent>
      </w:r>
    </w:p>
    <w:p w:rsidR="00D51E57" w:rsidRPr="00D9556D" w:rsidRDefault="00D51E57" w:rsidP="001D22B3">
      <w:pPr>
        <w:pStyle w:val="BodyText"/>
        <w:spacing w:after="80"/>
        <w:jc w:val="center"/>
        <w:rPr>
          <w:rFonts w:cstheme="minorHAnsi"/>
          <w:b/>
          <w:sz w:val="72"/>
          <w:szCs w:val="72"/>
        </w:rPr>
      </w:pPr>
    </w:p>
    <w:p w:rsidR="008625B0" w:rsidRPr="007433B0" w:rsidRDefault="001D22B3" w:rsidP="001D22B3">
      <w:pPr>
        <w:pStyle w:val="BodyText"/>
        <w:spacing w:after="80"/>
        <w:jc w:val="center"/>
        <w:rPr>
          <w:rFonts w:cstheme="minorHAnsi"/>
          <w:b/>
          <w:sz w:val="22"/>
          <w:szCs w:val="22"/>
        </w:rPr>
      </w:pPr>
      <w:r w:rsidRPr="007433B0">
        <w:rPr>
          <w:rFonts w:cstheme="minorHAnsi"/>
          <w:b/>
          <w:sz w:val="22"/>
          <w:szCs w:val="22"/>
        </w:rPr>
        <w:t>Liquor Commission of Western Australia</w:t>
      </w:r>
    </w:p>
    <w:p w:rsidR="001D22B3" w:rsidRPr="007433B0" w:rsidRDefault="001D22B3" w:rsidP="001D22B3">
      <w:pPr>
        <w:pStyle w:val="BodyText"/>
        <w:jc w:val="center"/>
        <w:rPr>
          <w:rFonts w:cstheme="minorHAnsi"/>
          <w:b/>
          <w:i/>
          <w:sz w:val="22"/>
          <w:szCs w:val="22"/>
        </w:rPr>
      </w:pPr>
      <w:r w:rsidRPr="007433B0">
        <w:rPr>
          <w:rFonts w:cstheme="minorHAnsi"/>
          <w:b/>
          <w:sz w:val="22"/>
          <w:szCs w:val="22"/>
        </w:rPr>
        <w:t>(</w:t>
      </w:r>
      <w:r w:rsidRPr="007433B0">
        <w:rPr>
          <w:rFonts w:cstheme="minorHAnsi"/>
          <w:b/>
          <w:i/>
          <w:sz w:val="22"/>
          <w:szCs w:val="22"/>
        </w:rPr>
        <w:t>Liquor Control Act 1988</w:t>
      </w:r>
      <w:r w:rsidRPr="007433B0">
        <w:rPr>
          <w:rFonts w:cstheme="minorHAnsi"/>
          <w:b/>
          <w:sz w:val="22"/>
          <w:szCs w:val="22"/>
        </w:rPr>
        <w:t>)</w:t>
      </w:r>
    </w:p>
    <w:p w:rsidR="001D22B3" w:rsidRPr="007433B0" w:rsidRDefault="001D22B3" w:rsidP="001D22B3">
      <w:pPr>
        <w:pStyle w:val="BodyText"/>
        <w:tabs>
          <w:tab w:val="left" w:pos="3402"/>
        </w:tabs>
        <w:rPr>
          <w:rFonts w:cstheme="minorHAnsi"/>
          <w:b/>
          <w:sz w:val="22"/>
          <w:szCs w:val="22"/>
        </w:rPr>
      </w:pPr>
    </w:p>
    <w:p w:rsidR="001D22B3" w:rsidRPr="007433B0" w:rsidRDefault="001D22B3" w:rsidP="001D22B3">
      <w:pPr>
        <w:pStyle w:val="BodyText"/>
        <w:tabs>
          <w:tab w:val="left" w:pos="3402"/>
        </w:tabs>
        <w:rPr>
          <w:rFonts w:cstheme="minorHAnsi"/>
          <w:sz w:val="22"/>
          <w:szCs w:val="22"/>
        </w:rPr>
      </w:pPr>
      <w:r w:rsidRPr="007433B0">
        <w:rPr>
          <w:rFonts w:cstheme="minorHAnsi"/>
          <w:b/>
          <w:sz w:val="22"/>
          <w:szCs w:val="22"/>
        </w:rPr>
        <w:t>Applicant:</w:t>
      </w:r>
      <w:r w:rsidRPr="007433B0">
        <w:rPr>
          <w:rFonts w:cstheme="minorHAnsi"/>
          <w:b/>
          <w:sz w:val="22"/>
          <w:szCs w:val="22"/>
        </w:rPr>
        <w:tab/>
      </w:r>
      <w:r w:rsidR="00D9556D" w:rsidRPr="00D9556D">
        <w:rPr>
          <w:rFonts w:cstheme="minorHAnsi"/>
          <w:sz w:val="22"/>
          <w:szCs w:val="22"/>
        </w:rPr>
        <w:t xml:space="preserve">Mr </w:t>
      </w:r>
      <w:r w:rsidR="00AB34A6" w:rsidRPr="007433B0">
        <w:rPr>
          <w:rFonts w:cstheme="minorHAnsi"/>
          <w:sz w:val="22"/>
          <w:szCs w:val="22"/>
        </w:rPr>
        <w:t>M</w:t>
      </w:r>
      <w:r w:rsidR="001B3306">
        <w:rPr>
          <w:rFonts w:cstheme="minorHAnsi"/>
          <w:sz w:val="22"/>
          <w:szCs w:val="22"/>
        </w:rPr>
        <w:t xml:space="preserve"> R H C</w:t>
      </w:r>
    </w:p>
    <w:p w:rsidR="00D9556D" w:rsidRPr="00D9556D" w:rsidRDefault="00D9556D" w:rsidP="001D22B3">
      <w:pPr>
        <w:pStyle w:val="BodyText"/>
        <w:tabs>
          <w:tab w:val="left" w:pos="3402"/>
        </w:tabs>
        <w:rPr>
          <w:rFonts w:cstheme="minorHAnsi"/>
          <w:b/>
          <w:sz w:val="36"/>
          <w:szCs w:val="36"/>
        </w:rPr>
      </w:pPr>
    </w:p>
    <w:p w:rsidR="001D22B3" w:rsidRDefault="001D22B3" w:rsidP="001D22B3">
      <w:pPr>
        <w:pStyle w:val="BodyText"/>
        <w:tabs>
          <w:tab w:val="left" w:pos="3402"/>
        </w:tabs>
        <w:rPr>
          <w:rFonts w:cstheme="minorHAnsi"/>
          <w:i/>
          <w:sz w:val="22"/>
          <w:szCs w:val="22"/>
        </w:rPr>
      </w:pPr>
      <w:r w:rsidRPr="007433B0">
        <w:rPr>
          <w:rFonts w:cstheme="minorHAnsi"/>
          <w:b/>
          <w:sz w:val="22"/>
          <w:szCs w:val="22"/>
        </w:rPr>
        <w:t>Respondent:</w:t>
      </w:r>
      <w:r w:rsidRPr="007433B0">
        <w:rPr>
          <w:rFonts w:cstheme="minorHAnsi"/>
          <w:b/>
          <w:sz w:val="22"/>
          <w:szCs w:val="22"/>
        </w:rPr>
        <w:tab/>
      </w:r>
      <w:r w:rsidR="00002CF1" w:rsidRPr="007433B0">
        <w:rPr>
          <w:rFonts w:cstheme="minorHAnsi"/>
          <w:sz w:val="22"/>
          <w:szCs w:val="22"/>
        </w:rPr>
        <w:t>Commissioner of Police</w:t>
      </w:r>
      <w:r w:rsidRPr="007433B0">
        <w:rPr>
          <w:rFonts w:cstheme="minorHAnsi"/>
          <w:sz w:val="22"/>
          <w:szCs w:val="22"/>
        </w:rPr>
        <w:br/>
      </w:r>
      <w:r w:rsidRPr="007433B0">
        <w:rPr>
          <w:rFonts w:cstheme="minorHAnsi"/>
          <w:sz w:val="22"/>
          <w:szCs w:val="22"/>
        </w:rPr>
        <w:tab/>
      </w:r>
      <w:r w:rsidRPr="007433B0">
        <w:rPr>
          <w:rFonts w:cstheme="minorHAnsi"/>
          <w:i/>
          <w:sz w:val="22"/>
          <w:szCs w:val="22"/>
        </w:rPr>
        <w:t xml:space="preserve">(represented by </w:t>
      </w:r>
      <w:r w:rsidR="00D57959" w:rsidRPr="007433B0">
        <w:rPr>
          <w:rFonts w:cstheme="minorHAnsi"/>
          <w:i/>
          <w:sz w:val="22"/>
          <w:szCs w:val="22"/>
        </w:rPr>
        <w:t>Mr L</w:t>
      </w:r>
      <w:r w:rsidR="007E1E23">
        <w:rPr>
          <w:rFonts w:cstheme="minorHAnsi"/>
          <w:i/>
          <w:sz w:val="22"/>
          <w:szCs w:val="22"/>
        </w:rPr>
        <w:t>achlan</w:t>
      </w:r>
      <w:r w:rsidR="00D57959" w:rsidRPr="007433B0">
        <w:rPr>
          <w:rFonts w:cstheme="minorHAnsi"/>
          <w:i/>
          <w:sz w:val="22"/>
          <w:szCs w:val="22"/>
        </w:rPr>
        <w:t xml:space="preserve"> Geddes</w:t>
      </w:r>
      <w:r w:rsidR="000C4BF6" w:rsidRPr="007433B0">
        <w:rPr>
          <w:rFonts w:cstheme="minorHAnsi"/>
          <w:i/>
          <w:sz w:val="22"/>
          <w:szCs w:val="22"/>
        </w:rPr>
        <w:t xml:space="preserve"> </w:t>
      </w:r>
      <w:r w:rsidR="00D51E57" w:rsidRPr="007433B0">
        <w:rPr>
          <w:rFonts w:cstheme="minorHAnsi"/>
          <w:i/>
          <w:sz w:val="22"/>
          <w:szCs w:val="22"/>
        </w:rPr>
        <w:t>of State Solicitor’s</w:t>
      </w:r>
      <w:r w:rsidRPr="007433B0">
        <w:rPr>
          <w:rFonts w:cstheme="minorHAnsi"/>
          <w:i/>
          <w:sz w:val="22"/>
          <w:szCs w:val="22"/>
        </w:rPr>
        <w:br/>
      </w:r>
      <w:r w:rsidRPr="007433B0">
        <w:rPr>
          <w:rFonts w:cstheme="minorHAnsi"/>
          <w:i/>
          <w:sz w:val="22"/>
          <w:szCs w:val="22"/>
        </w:rPr>
        <w:tab/>
        <w:t>Office)</w:t>
      </w:r>
    </w:p>
    <w:p w:rsidR="00D9556D" w:rsidRPr="00D9556D" w:rsidRDefault="00D9556D" w:rsidP="001D22B3">
      <w:pPr>
        <w:pStyle w:val="BodyText"/>
        <w:tabs>
          <w:tab w:val="left" w:pos="3402"/>
        </w:tabs>
        <w:rPr>
          <w:rFonts w:cstheme="minorHAnsi"/>
          <w:sz w:val="32"/>
          <w:szCs w:val="32"/>
        </w:rPr>
      </w:pPr>
    </w:p>
    <w:p w:rsidR="001D22B3" w:rsidRPr="007433B0" w:rsidRDefault="001D22B3" w:rsidP="001D22B3">
      <w:pPr>
        <w:pStyle w:val="BodyText"/>
        <w:tabs>
          <w:tab w:val="left" w:pos="3402"/>
        </w:tabs>
        <w:rPr>
          <w:rFonts w:cstheme="minorHAnsi"/>
          <w:sz w:val="22"/>
          <w:szCs w:val="22"/>
        </w:rPr>
      </w:pPr>
      <w:r w:rsidRPr="007433B0">
        <w:rPr>
          <w:rFonts w:cstheme="minorHAnsi"/>
          <w:b/>
          <w:sz w:val="22"/>
          <w:szCs w:val="22"/>
        </w:rPr>
        <w:t>Commission:</w:t>
      </w:r>
      <w:r w:rsidRPr="007433B0">
        <w:rPr>
          <w:rFonts w:cstheme="minorHAnsi"/>
          <w:b/>
          <w:sz w:val="22"/>
          <w:szCs w:val="22"/>
        </w:rPr>
        <w:tab/>
      </w:r>
      <w:r w:rsidR="000C4BF6" w:rsidRPr="007433B0">
        <w:rPr>
          <w:rFonts w:cstheme="minorHAnsi"/>
          <w:sz w:val="22"/>
          <w:szCs w:val="22"/>
        </w:rPr>
        <w:t xml:space="preserve">Ms Elanor Rowe </w:t>
      </w:r>
      <w:r w:rsidRPr="007433B0">
        <w:rPr>
          <w:rFonts w:cstheme="minorHAnsi"/>
          <w:sz w:val="22"/>
          <w:szCs w:val="22"/>
        </w:rPr>
        <w:t>(Presiding Member)</w:t>
      </w:r>
    </w:p>
    <w:p w:rsidR="00D9556D" w:rsidRPr="00D9556D" w:rsidRDefault="00D9556D" w:rsidP="00EC60A7">
      <w:pPr>
        <w:pStyle w:val="BodyText"/>
        <w:tabs>
          <w:tab w:val="left" w:pos="3402"/>
        </w:tabs>
        <w:rPr>
          <w:rFonts w:cstheme="minorHAnsi"/>
          <w:b/>
          <w:sz w:val="36"/>
          <w:szCs w:val="36"/>
        </w:rPr>
      </w:pPr>
    </w:p>
    <w:p w:rsidR="001D22B3" w:rsidRPr="007433B0" w:rsidRDefault="001D22B3" w:rsidP="00EC60A7">
      <w:pPr>
        <w:pStyle w:val="BodyText"/>
        <w:tabs>
          <w:tab w:val="left" w:pos="3402"/>
        </w:tabs>
        <w:rPr>
          <w:rFonts w:cstheme="minorHAnsi"/>
          <w:sz w:val="22"/>
          <w:szCs w:val="22"/>
        </w:rPr>
      </w:pPr>
      <w:r w:rsidRPr="007433B0">
        <w:rPr>
          <w:rFonts w:cstheme="minorHAnsi"/>
          <w:b/>
          <w:sz w:val="22"/>
          <w:szCs w:val="22"/>
        </w:rPr>
        <w:t>Matter</w:t>
      </w:r>
      <w:r w:rsidRPr="007433B0">
        <w:rPr>
          <w:rFonts w:cstheme="minorHAnsi"/>
          <w:sz w:val="22"/>
          <w:szCs w:val="22"/>
        </w:rPr>
        <w:t>:</w:t>
      </w:r>
      <w:r w:rsidRPr="007433B0">
        <w:rPr>
          <w:rFonts w:cstheme="minorHAnsi"/>
          <w:sz w:val="22"/>
          <w:szCs w:val="22"/>
        </w:rPr>
        <w:tab/>
        <w:t>Application seeking review of a barring notice</w:t>
      </w:r>
      <w:r w:rsidR="00EC60A7" w:rsidRPr="007433B0">
        <w:rPr>
          <w:rFonts w:cstheme="minorHAnsi"/>
          <w:sz w:val="22"/>
          <w:szCs w:val="22"/>
        </w:rPr>
        <w:br/>
      </w:r>
      <w:r w:rsidRPr="007433B0">
        <w:rPr>
          <w:rFonts w:cstheme="minorHAnsi"/>
          <w:sz w:val="22"/>
          <w:szCs w:val="22"/>
        </w:rPr>
        <w:t xml:space="preserve"> </w:t>
      </w:r>
      <w:r w:rsidR="00EC60A7" w:rsidRPr="007433B0">
        <w:rPr>
          <w:rFonts w:cstheme="minorHAnsi"/>
          <w:sz w:val="22"/>
          <w:szCs w:val="22"/>
        </w:rPr>
        <w:tab/>
      </w:r>
      <w:r w:rsidRPr="007433B0">
        <w:rPr>
          <w:rFonts w:cstheme="minorHAnsi"/>
          <w:sz w:val="22"/>
          <w:szCs w:val="22"/>
        </w:rPr>
        <w:t>pursuant</w:t>
      </w:r>
      <w:r w:rsidR="00EC60A7" w:rsidRPr="007433B0">
        <w:rPr>
          <w:rFonts w:cstheme="minorHAnsi"/>
          <w:sz w:val="22"/>
          <w:szCs w:val="22"/>
        </w:rPr>
        <w:t xml:space="preserve"> </w:t>
      </w:r>
      <w:r w:rsidRPr="007433B0">
        <w:rPr>
          <w:rFonts w:cstheme="minorHAnsi"/>
          <w:sz w:val="22"/>
          <w:szCs w:val="22"/>
        </w:rPr>
        <w:t xml:space="preserve">to section 115AD of the </w:t>
      </w:r>
      <w:r w:rsidR="00EC60A7" w:rsidRPr="007433B0">
        <w:rPr>
          <w:rFonts w:cstheme="minorHAnsi"/>
          <w:i/>
          <w:sz w:val="22"/>
          <w:szCs w:val="22"/>
        </w:rPr>
        <w:t>Liquor Control</w:t>
      </w:r>
      <w:r w:rsidR="00EC60A7" w:rsidRPr="007433B0">
        <w:rPr>
          <w:rFonts w:cstheme="minorHAnsi"/>
          <w:i/>
          <w:sz w:val="22"/>
          <w:szCs w:val="22"/>
        </w:rPr>
        <w:br/>
        <w:t xml:space="preserve">                                                  </w:t>
      </w:r>
      <w:r w:rsidR="00CD5481">
        <w:rPr>
          <w:rFonts w:cstheme="minorHAnsi"/>
          <w:i/>
          <w:sz w:val="22"/>
          <w:szCs w:val="22"/>
        </w:rPr>
        <w:tab/>
      </w:r>
      <w:r w:rsidRPr="007433B0">
        <w:rPr>
          <w:rFonts w:cstheme="minorHAnsi"/>
          <w:i/>
          <w:sz w:val="22"/>
          <w:szCs w:val="22"/>
        </w:rPr>
        <w:t>Act</w:t>
      </w:r>
      <w:r w:rsidRPr="007433B0">
        <w:rPr>
          <w:rFonts w:cstheme="minorHAnsi"/>
          <w:sz w:val="22"/>
          <w:szCs w:val="22"/>
        </w:rPr>
        <w:t xml:space="preserve"> </w:t>
      </w:r>
      <w:r w:rsidRPr="007433B0">
        <w:rPr>
          <w:rFonts w:cstheme="minorHAnsi"/>
          <w:i/>
          <w:sz w:val="22"/>
          <w:szCs w:val="22"/>
        </w:rPr>
        <w:t>1988</w:t>
      </w:r>
      <w:r w:rsidRPr="007433B0">
        <w:rPr>
          <w:rFonts w:cstheme="minorHAnsi"/>
          <w:sz w:val="22"/>
          <w:szCs w:val="22"/>
        </w:rPr>
        <w:t>.</w:t>
      </w:r>
    </w:p>
    <w:p w:rsidR="00D9556D" w:rsidRPr="00D9556D" w:rsidRDefault="00D9556D" w:rsidP="001D22B3">
      <w:pPr>
        <w:pStyle w:val="BodyText"/>
        <w:tabs>
          <w:tab w:val="left" w:pos="3402"/>
        </w:tabs>
        <w:rPr>
          <w:rFonts w:cstheme="minorHAnsi"/>
          <w:b/>
          <w:sz w:val="36"/>
          <w:szCs w:val="36"/>
        </w:rPr>
      </w:pPr>
    </w:p>
    <w:p w:rsidR="001D22B3" w:rsidRPr="007433B0" w:rsidRDefault="001D22B3" w:rsidP="001D22B3">
      <w:pPr>
        <w:pStyle w:val="BodyText"/>
        <w:tabs>
          <w:tab w:val="left" w:pos="3402"/>
        </w:tabs>
        <w:rPr>
          <w:rFonts w:cstheme="minorHAnsi"/>
          <w:b/>
          <w:sz w:val="22"/>
          <w:szCs w:val="22"/>
        </w:rPr>
      </w:pPr>
      <w:r w:rsidRPr="007433B0">
        <w:rPr>
          <w:rFonts w:cstheme="minorHAnsi"/>
          <w:b/>
          <w:sz w:val="22"/>
          <w:szCs w:val="22"/>
        </w:rPr>
        <w:t>Date of lodgement</w:t>
      </w:r>
      <w:r w:rsidRPr="007433B0">
        <w:rPr>
          <w:rFonts w:cstheme="minorHAnsi"/>
          <w:b/>
          <w:sz w:val="22"/>
          <w:szCs w:val="22"/>
        </w:rPr>
        <w:tab/>
      </w:r>
      <w:r w:rsidR="00D57959" w:rsidRPr="007433B0">
        <w:rPr>
          <w:rFonts w:cstheme="minorHAnsi"/>
          <w:sz w:val="22"/>
          <w:szCs w:val="22"/>
        </w:rPr>
        <w:t>21 February 2019</w:t>
      </w:r>
      <w:r w:rsidRPr="007433B0">
        <w:rPr>
          <w:rFonts w:cstheme="minorHAnsi"/>
          <w:sz w:val="22"/>
          <w:szCs w:val="22"/>
        </w:rPr>
        <w:br/>
      </w:r>
      <w:r w:rsidRPr="007433B0">
        <w:rPr>
          <w:rFonts w:cstheme="minorHAnsi"/>
          <w:b/>
          <w:sz w:val="22"/>
          <w:szCs w:val="22"/>
        </w:rPr>
        <w:t>of Application:</w:t>
      </w:r>
    </w:p>
    <w:p w:rsidR="00D9556D" w:rsidRPr="00D9556D" w:rsidRDefault="00D9556D" w:rsidP="001D22B3">
      <w:pPr>
        <w:pStyle w:val="BodyText"/>
        <w:tabs>
          <w:tab w:val="left" w:pos="3402"/>
        </w:tabs>
        <w:rPr>
          <w:rFonts w:cstheme="minorHAnsi"/>
          <w:b/>
          <w:sz w:val="36"/>
          <w:szCs w:val="36"/>
        </w:rPr>
      </w:pPr>
    </w:p>
    <w:p w:rsidR="001D22B3" w:rsidRPr="007433B0" w:rsidRDefault="001D22B3" w:rsidP="001D22B3">
      <w:pPr>
        <w:pStyle w:val="BodyText"/>
        <w:tabs>
          <w:tab w:val="left" w:pos="3402"/>
        </w:tabs>
        <w:rPr>
          <w:rFonts w:cstheme="minorHAnsi"/>
          <w:sz w:val="22"/>
          <w:szCs w:val="22"/>
        </w:rPr>
      </w:pPr>
      <w:r w:rsidRPr="007433B0">
        <w:rPr>
          <w:rFonts w:cstheme="minorHAnsi"/>
          <w:b/>
          <w:sz w:val="22"/>
          <w:szCs w:val="22"/>
        </w:rPr>
        <w:t>Date of Determination:</w:t>
      </w:r>
      <w:r w:rsidRPr="007433B0">
        <w:rPr>
          <w:rFonts w:cstheme="minorHAnsi"/>
          <w:b/>
          <w:sz w:val="22"/>
          <w:szCs w:val="22"/>
        </w:rPr>
        <w:tab/>
      </w:r>
      <w:r w:rsidR="007E1E23" w:rsidRPr="007E1E23">
        <w:rPr>
          <w:rFonts w:cstheme="minorHAnsi"/>
          <w:sz w:val="22"/>
          <w:szCs w:val="22"/>
        </w:rPr>
        <w:t>30</w:t>
      </w:r>
      <w:r w:rsidR="000523BF" w:rsidRPr="007433B0">
        <w:rPr>
          <w:rFonts w:cstheme="minorHAnsi"/>
          <w:sz w:val="22"/>
          <w:szCs w:val="22"/>
        </w:rPr>
        <w:t xml:space="preserve"> April</w:t>
      </w:r>
      <w:r w:rsidR="00D57959" w:rsidRPr="007433B0">
        <w:rPr>
          <w:rFonts w:cstheme="minorHAnsi"/>
          <w:sz w:val="22"/>
          <w:szCs w:val="22"/>
        </w:rPr>
        <w:t xml:space="preserve"> 2019</w:t>
      </w:r>
    </w:p>
    <w:p w:rsidR="00D9556D" w:rsidRPr="00D9556D" w:rsidRDefault="00D9556D" w:rsidP="007E599F">
      <w:pPr>
        <w:pStyle w:val="BodyText"/>
        <w:tabs>
          <w:tab w:val="left" w:pos="3402"/>
        </w:tabs>
        <w:rPr>
          <w:rFonts w:cstheme="minorHAnsi"/>
          <w:b/>
          <w:sz w:val="36"/>
          <w:szCs w:val="36"/>
        </w:rPr>
      </w:pPr>
    </w:p>
    <w:p w:rsidR="000C4BF6" w:rsidRPr="007433B0" w:rsidRDefault="001D22B3" w:rsidP="007E599F">
      <w:pPr>
        <w:pStyle w:val="BodyText"/>
        <w:tabs>
          <w:tab w:val="left" w:pos="3402"/>
        </w:tabs>
        <w:rPr>
          <w:rFonts w:cstheme="minorHAnsi"/>
          <w:sz w:val="22"/>
          <w:szCs w:val="22"/>
        </w:rPr>
      </w:pPr>
      <w:r w:rsidRPr="007433B0">
        <w:rPr>
          <w:rFonts w:cstheme="minorHAnsi"/>
          <w:b/>
          <w:sz w:val="22"/>
          <w:szCs w:val="22"/>
        </w:rPr>
        <w:t>Determination:</w:t>
      </w:r>
      <w:r w:rsidRPr="007433B0">
        <w:rPr>
          <w:rFonts w:cstheme="minorHAnsi"/>
          <w:b/>
          <w:sz w:val="22"/>
          <w:szCs w:val="22"/>
        </w:rPr>
        <w:tab/>
      </w:r>
      <w:r w:rsidR="007E599F" w:rsidRPr="007433B0">
        <w:rPr>
          <w:rFonts w:cstheme="minorHAnsi"/>
          <w:sz w:val="22"/>
          <w:szCs w:val="22"/>
        </w:rPr>
        <w:t>The application for review is dismissed.</w:t>
      </w:r>
    </w:p>
    <w:p w:rsidR="000C4BF6" w:rsidRPr="007433B0" w:rsidRDefault="000C4BF6" w:rsidP="000C4BF6">
      <w:pPr>
        <w:ind w:left="2880" w:hanging="2880"/>
        <w:jc w:val="both"/>
        <w:rPr>
          <w:rFonts w:cstheme="minorHAnsi"/>
          <w:sz w:val="22"/>
          <w:szCs w:val="22"/>
        </w:rPr>
      </w:pPr>
    </w:p>
    <w:p w:rsidR="00447465" w:rsidRPr="007433B0" w:rsidRDefault="00447465">
      <w:pPr>
        <w:spacing w:after="200"/>
        <w:rPr>
          <w:rFonts w:cstheme="minorHAnsi"/>
          <w:sz w:val="22"/>
          <w:szCs w:val="22"/>
        </w:rPr>
      </w:pPr>
      <w:r w:rsidRPr="007433B0">
        <w:rPr>
          <w:rFonts w:cstheme="minorHAnsi"/>
          <w:sz w:val="22"/>
          <w:szCs w:val="22"/>
        </w:rPr>
        <w:br w:type="page"/>
      </w:r>
    </w:p>
    <w:p w:rsidR="00616475" w:rsidRPr="007433B0" w:rsidRDefault="00630A25" w:rsidP="001D22B3">
      <w:pPr>
        <w:pStyle w:val="BodyText"/>
        <w:tabs>
          <w:tab w:val="left" w:pos="3402"/>
        </w:tabs>
        <w:rPr>
          <w:rFonts w:cstheme="minorHAnsi"/>
          <w:b/>
          <w:sz w:val="22"/>
          <w:szCs w:val="22"/>
        </w:rPr>
      </w:pPr>
      <w:r w:rsidRPr="007433B0">
        <w:rPr>
          <w:rFonts w:cstheme="minorHAnsi"/>
          <w:b/>
          <w:sz w:val="22"/>
          <w:szCs w:val="22"/>
        </w:rPr>
        <w:lastRenderedPageBreak/>
        <w:t>A</w:t>
      </w:r>
      <w:r w:rsidR="00616475" w:rsidRPr="007433B0">
        <w:rPr>
          <w:rFonts w:cstheme="minorHAnsi"/>
          <w:b/>
          <w:sz w:val="22"/>
          <w:szCs w:val="22"/>
        </w:rPr>
        <w:t>uthorities referred to in determination:</w:t>
      </w:r>
    </w:p>
    <w:p w:rsidR="000C4BF6" w:rsidRPr="007433B0" w:rsidRDefault="001B3306" w:rsidP="000556A4">
      <w:pPr>
        <w:pStyle w:val="ListParagraph"/>
        <w:numPr>
          <w:ilvl w:val="0"/>
          <w:numId w:val="9"/>
        </w:numPr>
        <w:spacing w:before="120" w:after="120" w:line="360" w:lineRule="auto"/>
        <w:ind w:left="426" w:hanging="357"/>
        <w:contextualSpacing w:val="0"/>
        <w:jc w:val="both"/>
        <w:rPr>
          <w:rFonts w:cstheme="minorHAnsi"/>
          <w:sz w:val="22"/>
          <w:szCs w:val="22"/>
        </w:rPr>
      </w:pPr>
      <w:r>
        <w:rPr>
          <w:rFonts w:cstheme="minorHAnsi"/>
          <w:i/>
          <w:sz w:val="22"/>
          <w:szCs w:val="22"/>
        </w:rPr>
        <w:t xml:space="preserve">Shane </w:t>
      </w:r>
      <w:r w:rsidR="000C4BF6" w:rsidRPr="007433B0">
        <w:rPr>
          <w:rFonts w:cstheme="minorHAnsi"/>
          <w:i/>
          <w:sz w:val="22"/>
          <w:szCs w:val="22"/>
        </w:rPr>
        <w:t xml:space="preserve">Van </w:t>
      </w:r>
      <w:proofErr w:type="spellStart"/>
      <w:r w:rsidR="000C4BF6" w:rsidRPr="007433B0">
        <w:rPr>
          <w:rFonts w:cstheme="minorHAnsi"/>
          <w:i/>
          <w:sz w:val="22"/>
          <w:szCs w:val="22"/>
        </w:rPr>
        <w:t>Styn</w:t>
      </w:r>
      <w:proofErr w:type="spellEnd"/>
      <w:r w:rsidR="000C4BF6" w:rsidRPr="007433B0">
        <w:rPr>
          <w:rFonts w:cstheme="minorHAnsi"/>
          <w:i/>
          <w:sz w:val="22"/>
          <w:szCs w:val="22"/>
        </w:rPr>
        <w:t xml:space="preserve"> v Commissioner of Police</w:t>
      </w:r>
      <w:r w:rsidR="000C4BF6" w:rsidRPr="007433B0">
        <w:rPr>
          <w:rFonts w:cstheme="minorHAnsi"/>
          <w:sz w:val="22"/>
          <w:szCs w:val="22"/>
        </w:rPr>
        <w:t xml:space="preserve"> (LC19/2011)</w:t>
      </w:r>
    </w:p>
    <w:p w:rsidR="000C4BF6" w:rsidRPr="007433B0" w:rsidRDefault="000C4BF6" w:rsidP="000556A4">
      <w:pPr>
        <w:pStyle w:val="ListParagraph"/>
        <w:numPr>
          <w:ilvl w:val="0"/>
          <w:numId w:val="9"/>
        </w:numPr>
        <w:spacing w:before="120" w:after="120" w:line="360" w:lineRule="auto"/>
        <w:ind w:left="426" w:hanging="357"/>
        <w:contextualSpacing w:val="0"/>
        <w:jc w:val="both"/>
        <w:rPr>
          <w:rFonts w:cstheme="minorHAnsi"/>
          <w:sz w:val="22"/>
          <w:szCs w:val="22"/>
        </w:rPr>
      </w:pPr>
      <w:r w:rsidRPr="007433B0">
        <w:rPr>
          <w:rFonts w:cstheme="minorHAnsi"/>
          <w:i/>
          <w:sz w:val="22"/>
          <w:szCs w:val="22"/>
        </w:rPr>
        <w:t>Batty v Commissioner of Police</w:t>
      </w:r>
      <w:r w:rsidRPr="007433B0">
        <w:rPr>
          <w:rFonts w:cstheme="minorHAnsi"/>
          <w:sz w:val="22"/>
          <w:szCs w:val="22"/>
        </w:rPr>
        <w:t xml:space="preserve"> (LC 33/2011) </w:t>
      </w:r>
    </w:p>
    <w:p w:rsidR="000C4BF6" w:rsidRPr="007433B0" w:rsidRDefault="000C4BF6" w:rsidP="000556A4">
      <w:pPr>
        <w:pStyle w:val="ListParagraph"/>
        <w:numPr>
          <w:ilvl w:val="0"/>
          <w:numId w:val="9"/>
        </w:numPr>
        <w:spacing w:before="120" w:after="120" w:line="360" w:lineRule="auto"/>
        <w:ind w:left="426" w:hanging="357"/>
        <w:contextualSpacing w:val="0"/>
        <w:jc w:val="both"/>
        <w:rPr>
          <w:rFonts w:cstheme="minorHAnsi"/>
          <w:sz w:val="22"/>
          <w:szCs w:val="22"/>
        </w:rPr>
      </w:pPr>
      <w:proofErr w:type="spellStart"/>
      <w:r w:rsidRPr="007433B0">
        <w:rPr>
          <w:rFonts w:cstheme="minorHAnsi"/>
          <w:i/>
          <w:sz w:val="22"/>
          <w:szCs w:val="22"/>
        </w:rPr>
        <w:t>Quartermaine</w:t>
      </w:r>
      <w:proofErr w:type="spellEnd"/>
      <w:r w:rsidRPr="007433B0">
        <w:rPr>
          <w:rFonts w:cstheme="minorHAnsi"/>
          <w:i/>
          <w:sz w:val="22"/>
          <w:szCs w:val="22"/>
        </w:rPr>
        <w:t xml:space="preserve"> v Commissioner of Police</w:t>
      </w:r>
      <w:r w:rsidRPr="007433B0">
        <w:rPr>
          <w:rFonts w:cstheme="minorHAnsi"/>
          <w:sz w:val="22"/>
          <w:szCs w:val="22"/>
        </w:rPr>
        <w:t xml:space="preserve"> (LC 46/2011) </w:t>
      </w:r>
    </w:p>
    <w:p w:rsidR="000C4BF6" w:rsidRPr="007433B0" w:rsidRDefault="000C4BF6" w:rsidP="000556A4">
      <w:pPr>
        <w:pStyle w:val="ListParagraph"/>
        <w:numPr>
          <w:ilvl w:val="0"/>
          <w:numId w:val="9"/>
        </w:numPr>
        <w:spacing w:before="120" w:after="120" w:line="360" w:lineRule="auto"/>
        <w:ind w:left="426" w:hanging="357"/>
        <w:contextualSpacing w:val="0"/>
        <w:jc w:val="both"/>
        <w:rPr>
          <w:rFonts w:cstheme="minorHAnsi"/>
          <w:sz w:val="22"/>
          <w:szCs w:val="22"/>
        </w:rPr>
      </w:pPr>
      <w:proofErr w:type="spellStart"/>
      <w:r w:rsidRPr="007433B0">
        <w:rPr>
          <w:rFonts w:cstheme="minorHAnsi"/>
          <w:i/>
          <w:sz w:val="22"/>
          <w:szCs w:val="22"/>
        </w:rPr>
        <w:t>Piscopo</w:t>
      </w:r>
      <w:proofErr w:type="spellEnd"/>
      <w:r w:rsidRPr="007433B0">
        <w:rPr>
          <w:rFonts w:cstheme="minorHAnsi"/>
          <w:i/>
          <w:sz w:val="22"/>
          <w:szCs w:val="22"/>
        </w:rPr>
        <w:t xml:space="preserve"> v Commissioner of Police</w:t>
      </w:r>
      <w:r w:rsidRPr="007433B0">
        <w:rPr>
          <w:rFonts w:cstheme="minorHAnsi"/>
          <w:sz w:val="22"/>
          <w:szCs w:val="22"/>
        </w:rPr>
        <w:t xml:space="preserve"> (LC 55/2011) </w:t>
      </w:r>
    </w:p>
    <w:p w:rsidR="000C4BF6" w:rsidRPr="007433B0" w:rsidRDefault="000C4BF6" w:rsidP="000556A4">
      <w:pPr>
        <w:pStyle w:val="ListParagraph"/>
        <w:numPr>
          <w:ilvl w:val="0"/>
          <w:numId w:val="9"/>
        </w:numPr>
        <w:spacing w:before="120" w:after="120" w:line="360" w:lineRule="auto"/>
        <w:ind w:left="426" w:hanging="357"/>
        <w:contextualSpacing w:val="0"/>
        <w:jc w:val="both"/>
        <w:rPr>
          <w:rFonts w:cstheme="minorHAnsi"/>
          <w:sz w:val="22"/>
          <w:szCs w:val="22"/>
        </w:rPr>
      </w:pPr>
      <w:proofErr w:type="spellStart"/>
      <w:r w:rsidRPr="007433B0">
        <w:rPr>
          <w:rFonts w:cstheme="minorHAnsi"/>
          <w:i/>
          <w:sz w:val="22"/>
          <w:szCs w:val="22"/>
        </w:rPr>
        <w:t>Lewer</w:t>
      </w:r>
      <w:proofErr w:type="spellEnd"/>
      <w:r w:rsidRPr="007433B0">
        <w:rPr>
          <w:rFonts w:cstheme="minorHAnsi"/>
          <w:i/>
          <w:sz w:val="22"/>
          <w:szCs w:val="22"/>
        </w:rPr>
        <w:t xml:space="preserve"> v Commissioner of Police</w:t>
      </w:r>
      <w:r w:rsidRPr="007433B0">
        <w:rPr>
          <w:rFonts w:cstheme="minorHAnsi"/>
          <w:sz w:val="22"/>
          <w:szCs w:val="22"/>
        </w:rPr>
        <w:t xml:space="preserve"> (LC 58/2011)  </w:t>
      </w:r>
    </w:p>
    <w:p w:rsidR="00447465" w:rsidRPr="007433B0" w:rsidRDefault="00447465">
      <w:pPr>
        <w:spacing w:after="200"/>
        <w:rPr>
          <w:rFonts w:cstheme="minorHAnsi"/>
          <w:b/>
          <w:sz w:val="22"/>
          <w:szCs w:val="22"/>
        </w:rPr>
      </w:pPr>
      <w:r w:rsidRPr="007433B0">
        <w:rPr>
          <w:rFonts w:cstheme="minorHAnsi"/>
          <w:b/>
          <w:sz w:val="22"/>
          <w:szCs w:val="22"/>
        </w:rPr>
        <w:br w:type="page"/>
      </w:r>
      <w:bookmarkStart w:id="0" w:name="_GoBack"/>
      <w:bookmarkEnd w:id="0"/>
    </w:p>
    <w:p w:rsidR="006F59A3" w:rsidRPr="007433B0" w:rsidRDefault="00332850" w:rsidP="007433B0">
      <w:pPr>
        <w:rPr>
          <w:rFonts w:cstheme="minorHAnsi"/>
          <w:b/>
          <w:sz w:val="22"/>
          <w:szCs w:val="22"/>
        </w:rPr>
      </w:pPr>
      <w:r w:rsidRPr="007433B0">
        <w:rPr>
          <w:rFonts w:cstheme="minorHAnsi"/>
          <w:b/>
          <w:sz w:val="22"/>
          <w:szCs w:val="22"/>
        </w:rPr>
        <w:lastRenderedPageBreak/>
        <w:t>Background</w:t>
      </w:r>
    </w:p>
    <w:p w:rsidR="007433B0" w:rsidRDefault="007433B0" w:rsidP="007433B0">
      <w:pPr>
        <w:rPr>
          <w:rFonts w:cstheme="minorHAnsi"/>
          <w:sz w:val="22"/>
          <w:szCs w:val="22"/>
        </w:rPr>
      </w:pPr>
    </w:p>
    <w:p w:rsidR="000C4BF6" w:rsidRDefault="000C4BF6" w:rsidP="00684391">
      <w:pPr>
        <w:pStyle w:val="ListParagraph"/>
        <w:numPr>
          <w:ilvl w:val="0"/>
          <w:numId w:val="10"/>
        </w:numPr>
        <w:jc w:val="both"/>
        <w:rPr>
          <w:rFonts w:cstheme="minorHAnsi"/>
          <w:sz w:val="22"/>
          <w:szCs w:val="22"/>
        </w:rPr>
      </w:pPr>
      <w:r w:rsidRPr="007433B0">
        <w:rPr>
          <w:rFonts w:cstheme="minorHAnsi"/>
          <w:sz w:val="22"/>
          <w:szCs w:val="22"/>
        </w:rPr>
        <w:t xml:space="preserve">On </w:t>
      </w:r>
      <w:r w:rsidR="00D57959" w:rsidRPr="007433B0">
        <w:rPr>
          <w:rFonts w:cstheme="minorHAnsi"/>
          <w:sz w:val="22"/>
          <w:szCs w:val="22"/>
        </w:rPr>
        <w:t>27 December</w:t>
      </w:r>
      <w:r w:rsidRPr="007433B0">
        <w:rPr>
          <w:rFonts w:cstheme="minorHAnsi"/>
          <w:sz w:val="22"/>
          <w:szCs w:val="22"/>
        </w:rPr>
        <w:t xml:space="preserve"> 2018, an incident (“the </w:t>
      </w:r>
      <w:r w:rsidR="008A3E70" w:rsidRPr="007433B0">
        <w:rPr>
          <w:rFonts w:cstheme="minorHAnsi"/>
          <w:sz w:val="22"/>
          <w:szCs w:val="22"/>
        </w:rPr>
        <w:t>Incident”) occurred in and around</w:t>
      </w:r>
      <w:r w:rsidRPr="007433B0">
        <w:rPr>
          <w:rFonts w:cstheme="minorHAnsi"/>
          <w:sz w:val="22"/>
          <w:szCs w:val="22"/>
        </w:rPr>
        <w:t xml:space="preserve"> licensed premises namely </w:t>
      </w:r>
      <w:r w:rsidR="00AB34A6" w:rsidRPr="007433B0">
        <w:rPr>
          <w:rFonts w:cstheme="minorHAnsi"/>
          <w:sz w:val="22"/>
          <w:szCs w:val="22"/>
        </w:rPr>
        <w:t>[</w:t>
      </w:r>
      <w:r w:rsidR="00D57959" w:rsidRPr="001B3306">
        <w:rPr>
          <w:rFonts w:cstheme="minorHAnsi"/>
          <w:sz w:val="22"/>
          <w:szCs w:val="22"/>
          <w:highlight w:val="black"/>
        </w:rPr>
        <w:t>Northbridge Brewing Company</w:t>
      </w:r>
      <w:r w:rsidRPr="001B3306">
        <w:rPr>
          <w:rFonts w:cstheme="minorHAnsi"/>
          <w:sz w:val="22"/>
          <w:szCs w:val="22"/>
          <w:highlight w:val="black"/>
        </w:rPr>
        <w:t xml:space="preserve">, </w:t>
      </w:r>
      <w:r w:rsidR="00D57959" w:rsidRPr="001B3306">
        <w:rPr>
          <w:rFonts w:cstheme="minorHAnsi"/>
          <w:sz w:val="22"/>
          <w:szCs w:val="22"/>
          <w:highlight w:val="black"/>
        </w:rPr>
        <w:t>Northbridge</w:t>
      </w:r>
      <w:r w:rsidR="00AB34A6" w:rsidRPr="007433B0">
        <w:rPr>
          <w:rFonts w:cstheme="minorHAnsi"/>
          <w:sz w:val="22"/>
          <w:szCs w:val="22"/>
        </w:rPr>
        <w:t>]</w:t>
      </w:r>
      <w:r w:rsidRPr="007433B0">
        <w:rPr>
          <w:rFonts w:cstheme="minorHAnsi"/>
          <w:sz w:val="22"/>
          <w:szCs w:val="22"/>
        </w:rPr>
        <w:t xml:space="preserve"> (“the Venue”) involving the Applicant (aged </w:t>
      </w:r>
      <w:r w:rsidR="00360381" w:rsidRPr="007433B0">
        <w:rPr>
          <w:rFonts w:cstheme="minorHAnsi"/>
          <w:sz w:val="22"/>
          <w:szCs w:val="22"/>
        </w:rPr>
        <w:t>26</w:t>
      </w:r>
      <w:r w:rsidRPr="007433B0">
        <w:rPr>
          <w:rFonts w:cstheme="minorHAnsi"/>
          <w:sz w:val="22"/>
          <w:szCs w:val="22"/>
        </w:rPr>
        <w:t>).</w:t>
      </w:r>
    </w:p>
    <w:p w:rsidR="007433B0" w:rsidRDefault="007433B0" w:rsidP="00CD5481">
      <w:pPr>
        <w:pStyle w:val="ListParagraph"/>
        <w:jc w:val="both"/>
        <w:rPr>
          <w:rFonts w:cstheme="minorHAnsi"/>
          <w:sz w:val="22"/>
          <w:szCs w:val="22"/>
        </w:rPr>
      </w:pPr>
    </w:p>
    <w:p w:rsidR="00D57959" w:rsidRPr="007433B0" w:rsidRDefault="000C4BF6" w:rsidP="00684391">
      <w:pPr>
        <w:pStyle w:val="ListParagraph"/>
        <w:numPr>
          <w:ilvl w:val="0"/>
          <w:numId w:val="10"/>
        </w:numPr>
        <w:jc w:val="both"/>
        <w:rPr>
          <w:rFonts w:cstheme="minorHAnsi"/>
          <w:sz w:val="22"/>
          <w:szCs w:val="22"/>
        </w:rPr>
      </w:pPr>
      <w:proofErr w:type="gramStart"/>
      <w:r w:rsidRPr="007433B0">
        <w:rPr>
          <w:rFonts w:cstheme="minorHAnsi"/>
          <w:sz w:val="22"/>
          <w:szCs w:val="22"/>
        </w:rPr>
        <w:t>As a result of</w:t>
      </w:r>
      <w:proofErr w:type="gramEnd"/>
      <w:r w:rsidRPr="007433B0">
        <w:rPr>
          <w:rFonts w:cstheme="minorHAnsi"/>
          <w:sz w:val="22"/>
          <w:szCs w:val="22"/>
        </w:rPr>
        <w:t xml:space="preserve"> such Incident, the Applicant was charged with</w:t>
      </w:r>
      <w:r w:rsidR="00D57959" w:rsidRPr="007433B0">
        <w:rPr>
          <w:rFonts w:cstheme="minorHAnsi"/>
          <w:sz w:val="22"/>
          <w:szCs w:val="22"/>
        </w:rPr>
        <w:t>:</w:t>
      </w:r>
    </w:p>
    <w:p w:rsidR="00D57959" w:rsidRPr="007433B0" w:rsidRDefault="00D57959" w:rsidP="00CD5481">
      <w:pPr>
        <w:jc w:val="both"/>
        <w:rPr>
          <w:rFonts w:cstheme="minorHAnsi"/>
          <w:sz w:val="22"/>
          <w:szCs w:val="22"/>
        </w:rPr>
      </w:pPr>
    </w:p>
    <w:p w:rsidR="00D57959" w:rsidRDefault="00D57959" w:rsidP="00684391">
      <w:pPr>
        <w:pStyle w:val="ListParagraph"/>
        <w:numPr>
          <w:ilvl w:val="0"/>
          <w:numId w:val="11"/>
        </w:numPr>
        <w:jc w:val="both"/>
        <w:rPr>
          <w:rFonts w:cstheme="minorHAnsi"/>
          <w:sz w:val="22"/>
          <w:szCs w:val="22"/>
        </w:rPr>
      </w:pPr>
      <w:r w:rsidRPr="007433B0">
        <w:rPr>
          <w:rFonts w:cstheme="minorHAnsi"/>
          <w:sz w:val="22"/>
          <w:szCs w:val="22"/>
        </w:rPr>
        <w:t xml:space="preserve">disorderly behaviour in a public place, contrary to section 74A(2)(a) of the </w:t>
      </w:r>
      <w:r w:rsidRPr="00FD34DD">
        <w:rPr>
          <w:rFonts w:cstheme="minorHAnsi"/>
          <w:i/>
          <w:sz w:val="22"/>
          <w:szCs w:val="22"/>
        </w:rPr>
        <w:t>Criminal Code</w:t>
      </w:r>
      <w:r w:rsidR="00C0209D" w:rsidRPr="007433B0">
        <w:rPr>
          <w:rFonts w:cstheme="minorHAnsi"/>
          <w:sz w:val="22"/>
          <w:szCs w:val="22"/>
        </w:rPr>
        <w:t xml:space="preserve">; </w:t>
      </w:r>
      <w:r w:rsidRPr="007433B0">
        <w:rPr>
          <w:rFonts w:cstheme="minorHAnsi"/>
          <w:sz w:val="22"/>
          <w:szCs w:val="22"/>
        </w:rPr>
        <w:t xml:space="preserve"> </w:t>
      </w:r>
    </w:p>
    <w:p w:rsidR="007433B0" w:rsidRDefault="007433B0" w:rsidP="00CD5481">
      <w:pPr>
        <w:pStyle w:val="ListParagraph"/>
        <w:ind w:left="927"/>
        <w:jc w:val="both"/>
        <w:rPr>
          <w:rFonts w:cstheme="minorHAnsi"/>
          <w:sz w:val="22"/>
          <w:szCs w:val="22"/>
        </w:rPr>
      </w:pPr>
    </w:p>
    <w:p w:rsidR="00D57959" w:rsidRPr="007433B0" w:rsidRDefault="00D57959" w:rsidP="00684391">
      <w:pPr>
        <w:pStyle w:val="ListParagraph"/>
        <w:numPr>
          <w:ilvl w:val="0"/>
          <w:numId w:val="11"/>
        </w:numPr>
        <w:jc w:val="both"/>
        <w:rPr>
          <w:rFonts w:cstheme="minorHAnsi"/>
          <w:sz w:val="22"/>
          <w:szCs w:val="22"/>
        </w:rPr>
      </w:pPr>
      <w:r w:rsidRPr="007433B0">
        <w:rPr>
          <w:rFonts w:cstheme="minorHAnsi"/>
          <w:sz w:val="22"/>
          <w:szCs w:val="22"/>
        </w:rPr>
        <w:t xml:space="preserve">obstructing a public officer, contrary to section 172(2) of the </w:t>
      </w:r>
      <w:r w:rsidRPr="00FD34DD">
        <w:rPr>
          <w:rFonts w:cstheme="minorHAnsi"/>
          <w:i/>
          <w:sz w:val="22"/>
          <w:szCs w:val="22"/>
        </w:rPr>
        <w:t>Criminal Code</w:t>
      </w:r>
      <w:r w:rsidRPr="007433B0">
        <w:rPr>
          <w:rFonts w:cstheme="minorHAnsi"/>
          <w:sz w:val="22"/>
          <w:szCs w:val="22"/>
        </w:rPr>
        <w:t xml:space="preserve">.  </w:t>
      </w:r>
    </w:p>
    <w:p w:rsidR="000C4BF6" w:rsidRPr="007433B0" w:rsidRDefault="000C4BF6" w:rsidP="00CD5481">
      <w:pPr>
        <w:jc w:val="both"/>
        <w:rPr>
          <w:rFonts w:cstheme="minorHAnsi"/>
          <w:sz w:val="22"/>
          <w:szCs w:val="22"/>
        </w:rPr>
      </w:pPr>
    </w:p>
    <w:p w:rsidR="00831975" w:rsidRPr="007433B0" w:rsidRDefault="00831975" w:rsidP="00684391">
      <w:pPr>
        <w:pStyle w:val="ListParagraph"/>
        <w:numPr>
          <w:ilvl w:val="0"/>
          <w:numId w:val="10"/>
        </w:numPr>
        <w:jc w:val="both"/>
        <w:rPr>
          <w:rFonts w:cstheme="minorHAnsi"/>
          <w:sz w:val="22"/>
          <w:szCs w:val="22"/>
        </w:rPr>
      </w:pPr>
      <w:r w:rsidRPr="007433B0">
        <w:rPr>
          <w:rFonts w:cstheme="minorHAnsi"/>
          <w:sz w:val="22"/>
          <w:szCs w:val="22"/>
        </w:rPr>
        <w:t>On 25 January 2019 the Applicant received a spent conviction and a fine in respect of the above offences.</w:t>
      </w:r>
    </w:p>
    <w:p w:rsidR="00831975" w:rsidRPr="007433B0" w:rsidRDefault="00831975" w:rsidP="00CD5481">
      <w:pPr>
        <w:jc w:val="both"/>
        <w:rPr>
          <w:rFonts w:cstheme="minorHAnsi"/>
          <w:sz w:val="22"/>
          <w:szCs w:val="22"/>
        </w:rPr>
      </w:pPr>
    </w:p>
    <w:p w:rsidR="000C4BF6" w:rsidRPr="00CD4CC8" w:rsidRDefault="000C4BF6" w:rsidP="00684391">
      <w:pPr>
        <w:pStyle w:val="ListParagraph"/>
        <w:numPr>
          <w:ilvl w:val="0"/>
          <w:numId w:val="10"/>
        </w:numPr>
        <w:jc w:val="both"/>
        <w:rPr>
          <w:rFonts w:cstheme="minorHAnsi"/>
          <w:sz w:val="22"/>
          <w:szCs w:val="22"/>
        </w:rPr>
      </w:pPr>
      <w:r w:rsidRPr="00CD4CC8">
        <w:rPr>
          <w:rFonts w:cstheme="minorHAnsi"/>
          <w:sz w:val="22"/>
          <w:szCs w:val="22"/>
        </w:rPr>
        <w:t xml:space="preserve">As a further result of </w:t>
      </w:r>
      <w:r w:rsidR="00AB34A6" w:rsidRPr="00CD4CC8">
        <w:rPr>
          <w:rFonts w:cstheme="minorHAnsi"/>
          <w:sz w:val="22"/>
          <w:szCs w:val="22"/>
        </w:rPr>
        <w:t>the</w:t>
      </w:r>
      <w:r w:rsidRPr="00CD4CC8">
        <w:rPr>
          <w:rFonts w:cstheme="minorHAnsi"/>
          <w:sz w:val="22"/>
          <w:szCs w:val="22"/>
        </w:rPr>
        <w:t xml:space="preserve"> Incident, the Commissioner of Police </w:t>
      </w:r>
      <w:r w:rsidRPr="00CD4CC8">
        <w:rPr>
          <w:rFonts w:cstheme="minorHAnsi"/>
          <w:sz w:val="22"/>
          <w:szCs w:val="22"/>
        </w:rPr>
        <w:br/>
        <w:t>(“the Respondent”) issued a barring notice (“Barring Notice”) pursuant to section 115</w:t>
      </w:r>
      <w:proofErr w:type="gramStart"/>
      <w:r w:rsidRPr="00CD4CC8">
        <w:rPr>
          <w:rFonts w:cstheme="minorHAnsi"/>
          <w:sz w:val="22"/>
          <w:szCs w:val="22"/>
        </w:rPr>
        <w:t>AA(</w:t>
      </w:r>
      <w:proofErr w:type="gramEnd"/>
      <w:r w:rsidRPr="00CD4CC8">
        <w:rPr>
          <w:rFonts w:cstheme="minorHAnsi"/>
          <w:sz w:val="22"/>
          <w:szCs w:val="22"/>
        </w:rPr>
        <w:t xml:space="preserve">2) of the </w:t>
      </w:r>
      <w:r w:rsidRPr="00FD34DD">
        <w:rPr>
          <w:rFonts w:cstheme="minorHAnsi"/>
          <w:i/>
          <w:sz w:val="22"/>
          <w:szCs w:val="22"/>
        </w:rPr>
        <w:t>Liquor Control Act 1988</w:t>
      </w:r>
      <w:r w:rsidRPr="00CD4CC8">
        <w:rPr>
          <w:rFonts w:cstheme="minorHAnsi"/>
          <w:sz w:val="22"/>
          <w:szCs w:val="22"/>
        </w:rPr>
        <w:t xml:space="preserve"> (“the Act”) </w:t>
      </w:r>
      <w:r w:rsidR="00AB34A6" w:rsidRPr="00CD4CC8">
        <w:rPr>
          <w:rFonts w:cstheme="minorHAnsi"/>
          <w:sz w:val="22"/>
          <w:szCs w:val="22"/>
        </w:rPr>
        <w:t>prohibiting</w:t>
      </w:r>
      <w:r w:rsidRPr="00CD4CC8">
        <w:rPr>
          <w:rFonts w:cstheme="minorHAnsi"/>
          <w:sz w:val="22"/>
          <w:szCs w:val="22"/>
        </w:rPr>
        <w:t xml:space="preserve"> the Applicant from entering specified licensed premises in Western Australia for a period of </w:t>
      </w:r>
      <w:r w:rsidR="00831975" w:rsidRPr="00CD4CC8">
        <w:rPr>
          <w:rFonts w:cstheme="minorHAnsi"/>
          <w:sz w:val="22"/>
          <w:szCs w:val="22"/>
        </w:rPr>
        <w:t xml:space="preserve">just less than </w:t>
      </w:r>
      <w:r w:rsidRPr="00CD4CC8">
        <w:rPr>
          <w:rFonts w:cstheme="minorHAnsi"/>
          <w:sz w:val="22"/>
          <w:szCs w:val="22"/>
        </w:rPr>
        <w:t>six months, namely:</w:t>
      </w:r>
    </w:p>
    <w:p w:rsidR="00CD4CC8" w:rsidRDefault="00CD4CC8" w:rsidP="00CD5481">
      <w:pPr>
        <w:jc w:val="both"/>
        <w:rPr>
          <w:rFonts w:cstheme="minorHAnsi"/>
          <w:sz w:val="22"/>
          <w:szCs w:val="22"/>
        </w:rPr>
      </w:pPr>
    </w:p>
    <w:p w:rsidR="000C4BF6" w:rsidRDefault="000C4BF6" w:rsidP="00684391">
      <w:pPr>
        <w:pStyle w:val="ListParagraph"/>
        <w:numPr>
          <w:ilvl w:val="0"/>
          <w:numId w:val="12"/>
        </w:numPr>
        <w:jc w:val="both"/>
        <w:rPr>
          <w:rFonts w:cstheme="minorHAnsi"/>
          <w:sz w:val="22"/>
          <w:szCs w:val="22"/>
        </w:rPr>
      </w:pPr>
      <w:r w:rsidRPr="00CD4CC8">
        <w:rPr>
          <w:rFonts w:cstheme="minorHAnsi"/>
          <w:sz w:val="22"/>
          <w:szCs w:val="22"/>
        </w:rPr>
        <w:t>all hotel licences issued under section 41;</w:t>
      </w:r>
    </w:p>
    <w:p w:rsidR="00CD4CC8" w:rsidRPr="00CD4CC8" w:rsidRDefault="00CD4CC8" w:rsidP="00CD5481">
      <w:pPr>
        <w:pStyle w:val="ListParagraph"/>
        <w:ind w:left="1080"/>
        <w:jc w:val="both"/>
        <w:rPr>
          <w:rFonts w:cstheme="minorHAnsi"/>
          <w:sz w:val="22"/>
          <w:szCs w:val="22"/>
        </w:rPr>
      </w:pPr>
    </w:p>
    <w:p w:rsidR="00831975" w:rsidRDefault="00831975" w:rsidP="00684391">
      <w:pPr>
        <w:pStyle w:val="ListParagraph"/>
        <w:numPr>
          <w:ilvl w:val="0"/>
          <w:numId w:val="12"/>
        </w:numPr>
        <w:jc w:val="both"/>
        <w:rPr>
          <w:rFonts w:cstheme="minorHAnsi"/>
          <w:sz w:val="22"/>
          <w:szCs w:val="22"/>
        </w:rPr>
      </w:pPr>
      <w:r w:rsidRPr="00CD4CC8">
        <w:rPr>
          <w:rFonts w:cstheme="minorHAnsi"/>
          <w:sz w:val="22"/>
          <w:szCs w:val="22"/>
        </w:rPr>
        <w:t>all small bar licences issued under section 41A;</w:t>
      </w:r>
    </w:p>
    <w:p w:rsidR="00CD4CC8" w:rsidRPr="00CD4CC8" w:rsidRDefault="00CD4CC8" w:rsidP="00CD5481">
      <w:pPr>
        <w:jc w:val="both"/>
        <w:rPr>
          <w:rFonts w:cstheme="minorHAnsi"/>
          <w:sz w:val="22"/>
          <w:szCs w:val="22"/>
        </w:rPr>
      </w:pPr>
    </w:p>
    <w:p w:rsidR="000C4BF6" w:rsidRDefault="000C4BF6" w:rsidP="00684391">
      <w:pPr>
        <w:pStyle w:val="ListParagraph"/>
        <w:numPr>
          <w:ilvl w:val="0"/>
          <w:numId w:val="12"/>
        </w:numPr>
        <w:jc w:val="both"/>
        <w:rPr>
          <w:rFonts w:cstheme="minorHAnsi"/>
          <w:sz w:val="22"/>
          <w:szCs w:val="22"/>
        </w:rPr>
      </w:pPr>
      <w:r w:rsidRPr="00CD4CC8">
        <w:rPr>
          <w:rFonts w:cstheme="minorHAnsi"/>
          <w:sz w:val="22"/>
          <w:szCs w:val="22"/>
        </w:rPr>
        <w:t>all nightclub licences issued under section 42;</w:t>
      </w:r>
    </w:p>
    <w:p w:rsidR="00CD4CC8" w:rsidRPr="00CD4CC8" w:rsidRDefault="00CD4CC8" w:rsidP="00CD5481">
      <w:pPr>
        <w:jc w:val="both"/>
        <w:rPr>
          <w:rFonts w:cstheme="minorHAnsi"/>
          <w:sz w:val="22"/>
          <w:szCs w:val="22"/>
        </w:rPr>
      </w:pPr>
    </w:p>
    <w:p w:rsidR="000C4BF6" w:rsidRDefault="000C4BF6" w:rsidP="00684391">
      <w:pPr>
        <w:pStyle w:val="ListParagraph"/>
        <w:numPr>
          <w:ilvl w:val="0"/>
          <w:numId w:val="12"/>
        </w:numPr>
        <w:jc w:val="both"/>
        <w:rPr>
          <w:rFonts w:cstheme="minorHAnsi"/>
          <w:sz w:val="22"/>
          <w:szCs w:val="22"/>
        </w:rPr>
      </w:pPr>
      <w:r w:rsidRPr="00CD4CC8">
        <w:rPr>
          <w:rFonts w:cstheme="minorHAnsi"/>
          <w:sz w:val="22"/>
          <w:szCs w:val="22"/>
        </w:rPr>
        <w:t>casino licences issued under section 44;</w:t>
      </w:r>
    </w:p>
    <w:p w:rsidR="00CD4CC8" w:rsidRPr="00CD4CC8" w:rsidRDefault="00CD4CC8" w:rsidP="00CD5481">
      <w:pPr>
        <w:jc w:val="both"/>
        <w:rPr>
          <w:rFonts w:cstheme="minorHAnsi"/>
          <w:sz w:val="22"/>
          <w:szCs w:val="22"/>
        </w:rPr>
      </w:pPr>
    </w:p>
    <w:p w:rsidR="000C4BF6" w:rsidRDefault="000C4BF6" w:rsidP="00684391">
      <w:pPr>
        <w:pStyle w:val="ListParagraph"/>
        <w:numPr>
          <w:ilvl w:val="0"/>
          <w:numId w:val="12"/>
        </w:numPr>
        <w:jc w:val="both"/>
        <w:rPr>
          <w:rFonts w:cstheme="minorHAnsi"/>
          <w:sz w:val="22"/>
          <w:szCs w:val="22"/>
        </w:rPr>
      </w:pPr>
      <w:r w:rsidRPr="00CD4CC8">
        <w:rPr>
          <w:rFonts w:cstheme="minorHAnsi"/>
          <w:sz w:val="22"/>
          <w:szCs w:val="22"/>
        </w:rPr>
        <w:t>all club licences issued under section 48;</w:t>
      </w:r>
    </w:p>
    <w:p w:rsidR="00CD4CC8" w:rsidRPr="00CD4CC8" w:rsidRDefault="00CD4CC8" w:rsidP="00CD5481">
      <w:pPr>
        <w:jc w:val="both"/>
        <w:rPr>
          <w:rFonts w:cstheme="minorHAnsi"/>
          <w:sz w:val="22"/>
          <w:szCs w:val="22"/>
        </w:rPr>
      </w:pPr>
    </w:p>
    <w:p w:rsidR="000C4BF6" w:rsidRDefault="000C4BF6" w:rsidP="00684391">
      <w:pPr>
        <w:pStyle w:val="ListParagraph"/>
        <w:numPr>
          <w:ilvl w:val="0"/>
          <w:numId w:val="12"/>
        </w:numPr>
        <w:jc w:val="both"/>
        <w:rPr>
          <w:rFonts w:cstheme="minorHAnsi"/>
          <w:sz w:val="22"/>
          <w:szCs w:val="22"/>
        </w:rPr>
      </w:pPr>
      <w:r w:rsidRPr="00CD4CC8">
        <w:rPr>
          <w:rFonts w:cstheme="minorHAnsi"/>
          <w:sz w:val="22"/>
          <w:szCs w:val="22"/>
        </w:rPr>
        <w:t>all restaurant licences issued under section 50;</w:t>
      </w:r>
    </w:p>
    <w:p w:rsidR="00CD4CC8" w:rsidRPr="00CD4CC8" w:rsidRDefault="00CD4CC8" w:rsidP="00CD5481">
      <w:pPr>
        <w:jc w:val="both"/>
        <w:rPr>
          <w:rFonts w:cstheme="minorHAnsi"/>
          <w:sz w:val="22"/>
          <w:szCs w:val="22"/>
        </w:rPr>
      </w:pPr>
    </w:p>
    <w:p w:rsidR="000C4BF6" w:rsidRDefault="000C4BF6" w:rsidP="00684391">
      <w:pPr>
        <w:pStyle w:val="ListParagraph"/>
        <w:numPr>
          <w:ilvl w:val="0"/>
          <w:numId w:val="12"/>
        </w:numPr>
        <w:jc w:val="both"/>
        <w:rPr>
          <w:rFonts w:cstheme="minorHAnsi"/>
          <w:sz w:val="22"/>
          <w:szCs w:val="22"/>
        </w:rPr>
      </w:pPr>
      <w:r w:rsidRPr="00CD4CC8">
        <w:rPr>
          <w:rFonts w:cstheme="minorHAnsi"/>
          <w:sz w:val="22"/>
          <w:szCs w:val="22"/>
        </w:rPr>
        <w:t xml:space="preserve">all occasional licenses issued under section 59; and </w:t>
      </w:r>
    </w:p>
    <w:p w:rsidR="00CD4CC8" w:rsidRPr="00CD4CC8" w:rsidRDefault="00CD4CC8" w:rsidP="00CD5481">
      <w:pPr>
        <w:jc w:val="both"/>
        <w:rPr>
          <w:rFonts w:cstheme="minorHAnsi"/>
          <w:sz w:val="22"/>
          <w:szCs w:val="22"/>
        </w:rPr>
      </w:pPr>
    </w:p>
    <w:p w:rsidR="000C4BF6" w:rsidRPr="00CD4CC8" w:rsidRDefault="000C4BF6" w:rsidP="00684391">
      <w:pPr>
        <w:pStyle w:val="ListParagraph"/>
        <w:numPr>
          <w:ilvl w:val="0"/>
          <w:numId w:val="12"/>
        </w:numPr>
        <w:jc w:val="both"/>
        <w:rPr>
          <w:rFonts w:cstheme="minorHAnsi"/>
          <w:sz w:val="22"/>
          <w:szCs w:val="22"/>
        </w:rPr>
      </w:pPr>
      <w:r w:rsidRPr="00CD4CC8">
        <w:rPr>
          <w:rFonts w:cstheme="minorHAnsi"/>
          <w:sz w:val="22"/>
          <w:szCs w:val="22"/>
        </w:rPr>
        <w:t xml:space="preserve">all special facility licences issued under section 46 and regulation 9A of the </w:t>
      </w:r>
      <w:r w:rsidRPr="00FD34DD">
        <w:rPr>
          <w:rFonts w:cstheme="minorHAnsi"/>
          <w:i/>
          <w:sz w:val="22"/>
          <w:szCs w:val="22"/>
        </w:rPr>
        <w:t>Liquor Control Regulations 1989</w:t>
      </w:r>
      <w:r w:rsidRPr="00CD4CC8">
        <w:rPr>
          <w:rFonts w:cstheme="minorHAnsi"/>
          <w:sz w:val="22"/>
          <w:szCs w:val="22"/>
        </w:rPr>
        <w:t>.</w:t>
      </w:r>
    </w:p>
    <w:p w:rsidR="000C4BF6" w:rsidRPr="007433B0" w:rsidRDefault="000C4BF6" w:rsidP="00CD5481">
      <w:pPr>
        <w:jc w:val="both"/>
        <w:rPr>
          <w:rFonts w:cstheme="minorHAnsi"/>
          <w:sz w:val="22"/>
          <w:szCs w:val="22"/>
        </w:rPr>
      </w:pPr>
    </w:p>
    <w:p w:rsidR="000C4BF6" w:rsidRDefault="000C4BF6" w:rsidP="00684391">
      <w:pPr>
        <w:pStyle w:val="ListParagraph"/>
        <w:numPr>
          <w:ilvl w:val="0"/>
          <w:numId w:val="10"/>
        </w:numPr>
        <w:jc w:val="both"/>
        <w:rPr>
          <w:rFonts w:cstheme="minorHAnsi"/>
          <w:sz w:val="22"/>
          <w:szCs w:val="22"/>
        </w:rPr>
      </w:pPr>
      <w:r w:rsidRPr="00CD4CC8">
        <w:rPr>
          <w:rFonts w:cstheme="minorHAnsi"/>
          <w:sz w:val="22"/>
          <w:szCs w:val="22"/>
        </w:rPr>
        <w:t xml:space="preserve">The Barring Notice was served on the Applicant on </w:t>
      </w:r>
      <w:r w:rsidR="00EF15EA" w:rsidRPr="00CD4CC8">
        <w:rPr>
          <w:rFonts w:cstheme="minorHAnsi"/>
          <w:sz w:val="22"/>
          <w:szCs w:val="22"/>
        </w:rPr>
        <w:t>20 February</w:t>
      </w:r>
      <w:r w:rsidR="00AA65B7" w:rsidRPr="00CD4CC8">
        <w:rPr>
          <w:rFonts w:cstheme="minorHAnsi"/>
          <w:sz w:val="22"/>
          <w:szCs w:val="22"/>
        </w:rPr>
        <w:t xml:space="preserve"> 2019</w:t>
      </w:r>
      <w:r w:rsidRPr="00CD4CC8">
        <w:rPr>
          <w:rFonts w:cstheme="minorHAnsi"/>
          <w:sz w:val="22"/>
          <w:szCs w:val="22"/>
        </w:rPr>
        <w:t xml:space="preserve"> and will expire on </w:t>
      </w:r>
      <w:r w:rsidRPr="00CD4CC8">
        <w:rPr>
          <w:rFonts w:cstheme="minorHAnsi"/>
          <w:sz w:val="22"/>
          <w:szCs w:val="22"/>
        </w:rPr>
        <w:br/>
      </w:r>
      <w:r w:rsidR="00EF15EA" w:rsidRPr="00CD4CC8">
        <w:rPr>
          <w:rFonts w:cstheme="minorHAnsi"/>
          <w:sz w:val="22"/>
          <w:szCs w:val="22"/>
        </w:rPr>
        <w:t>13 August</w:t>
      </w:r>
      <w:r w:rsidRPr="00CD4CC8">
        <w:rPr>
          <w:rFonts w:cstheme="minorHAnsi"/>
          <w:sz w:val="22"/>
          <w:szCs w:val="22"/>
        </w:rPr>
        <w:t xml:space="preserve"> 2019. </w:t>
      </w:r>
    </w:p>
    <w:p w:rsidR="00CD4CC8" w:rsidRDefault="00CD4CC8" w:rsidP="00CD5481">
      <w:pPr>
        <w:pStyle w:val="ListParagraph"/>
        <w:jc w:val="both"/>
        <w:rPr>
          <w:rFonts w:cstheme="minorHAnsi"/>
          <w:sz w:val="22"/>
          <w:szCs w:val="22"/>
        </w:rPr>
      </w:pPr>
    </w:p>
    <w:p w:rsidR="000C4BF6" w:rsidRDefault="000C4BF6" w:rsidP="00684391">
      <w:pPr>
        <w:pStyle w:val="ListParagraph"/>
        <w:numPr>
          <w:ilvl w:val="0"/>
          <w:numId w:val="10"/>
        </w:numPr>
        <w:jc w:val="both"/>
        <w:rPr>
          <w:rFonts w:cstheme="minorHAnsi"/>
          <w:sz w:val="22"/>
          <w:szCs w:val="22"/>
        </w:rPr>
      </w:pPr>
      <w:r w:rsidRPr="00CD4CC8">
        <w:rPr>
          <w:rFonts w:cstheme="minorHAnsi"/>
          <w:sz w:val="22"/>
          <w:szCs w:val="22"/>
        </w:rPr>
        <w:t xml:space="preserve">On </w:t>
      </w:r>
      <w:r w:rsidR="00AA65B7" w:rsidRPr="00CD4CC8">
        <w:rPr>
          <w:rFonts w:cstheme="minorHAnsi"/>
          <w:sz w:val="22"/>
          <w:szCs w:val="22"/>
        </w:rPr>
        <w:t>21 February 2019</w:t>
      </w:r>
      <w:r w:rsidRPr="00CD4CC8">
        <w:rPr>
          <w:rFonts w:cstheme="minorHAnsi"/>
          <w:sz w:val="22"/>
          <w:szCs w:val="22"/>
        </w:rPr>
        <w:t>, the Applicant lodged an Application for Review in respect of the Barring Notice pursuant to section 115</w:t>
      </w:r>
      <w:r w:rsidR="001B3306" w:rsidRPr="00CD4CC8">
        <w:rPr>
          <w:rFonts w:cstheme="minorHAnsi"/>
          <w:sz w:val="22"/>
          <w:szCs w:val="22"/>
        </w:rPr>
        <w:t>AD (</w:t>
      </w:r>
      <w:r w:rsidRPr="00CD4CC8">
        <w:rPr>
          <w:rFonts w:cstheme="minorHAnsi"/>
          <w:sz w:val="22"/>
          <w:szCs w:val="22"/>
        </w:rPr>
        <w:t xml:space="preserve">3) of the Act. The Applicant has elected to have the review determined on the papers. </w:t>
      </w:r>
    </w:p>
    <w:p w:rsidR="00CD4CC8" w:rsidRPr="00CD4CC8" w:rsidRDefault="00CD4CC8" w:rsidP="00CD5481">
      <w:pPr>
        <w:pStyle w:val="ListParagraph"/>
        <w:jc w:val="both"/>
        <w:rPr>
          <w:rFonts w:cstheme="minorHAnsi"/>
          <w:sz w:val="22"/>
          <w:szCs w:val="22"/>
        </w:rPr>
      </w:pPr>
    </w:p>
    <w:p w:rsidR="000C4BF6" w:rsidRPr="00CD4CC8" w:rsidRDefault="000C4BF6" w:rsidP="00684391">
      <w:pPr>
        <w:pStyle w:val="ListParagraph"/>
        <w:numPr>
          <w:ilvl w:val="0"/>
          <w:numId w:val="10"/>
        </w:numPr>
        <w:jc w:val="both"/>
        <w:rPr>
          <w:rFonts w:cstheme="minorHAnsi"/>
          <w:sz w:val="22"/>
          <w:szCs w:val="22"/>
        </w:rPr>
      </w:pPr>
      <w:r w:rsidRPr="00CD4CC8">
        <w:rPr>
          <w:rFonts w:cstheme="minorHAnsi"/>
          <w:sz w:val="22"/>
          <w:szCs w:val="22"/>
        </w:rPr>
        <w:t>The Incident giving rise to the Barring Notice is referred to in the following documents:</w:t>
      </w:r>
    </w:p>
    <w:p w:rsidR="007433B0" w:rsidRPr="007433B0" w:rsidRDefault="007433B0" w:rsidP="00CD5481">
      <w:pPr>
        <w:jc w:val="both"/>
        <w:rPr>
          <w:rFonts w:cstheme="minorHAnsi"/>
          <w:sz w:val="22"/>
          <w:szCs w:val="22"/>
        </w:rPr>
      </w:pPr>
    </w:p>
    <w:p w:rsidR="007433B0" w:rsidRDefault="007433B0" w:rsidP="00684391">
      <w:pPr>
        <w:pStyle w:val="ListParagraph"/>
        <w:numPr>
          <w:ilvl w:val="0"/>
          <w:numId w:val="13"/>
        </w:numPr>
        <w:jc w:val="both"/>
        <w:rPr>
          <w:rFonts w:cstheme="minorHAnsi"/>
          <w:sz w:val="22"/>
          <w:szCs w:val="22"/>
        </w:rPr>
      </w:pPr>
      <w:r w:rsidRPr="00CD4CC8">
        <w:rPr>
          <w:rFonts w:cstheme="minorHAnsi"/>
          <w:sz w:val="22"/>
          <w:szCs w:val="22"/>
        </w:rPr>
        <w:t>The Application for Review (“Application”);</w:t>
      </w:r>
    </w:p>
    <w:p w:rsidR="00CD5481" w:rsidRDefault="00CD5481" w:rsidP="00CD5481">
      <w:pPr>
        <w:pStyle w:val="ListParagraph"/>
        <w:ind w:left="1080"/>
        <w:jc w:val="both"/>
        <w:rPr>
          <w:rFonts w:cstheme="minorHAnsi"/>
          <w:sz w:val="22"/>
          <w:szCs w:val="22"/>
        </w:rPr>
      </w:pPr>
    </w:p>
    <w:p w:rsidR="007433B0" w:rsidRPr="00CD5481" w:rsidRDefault="007433B0" w:rsidP="00684391">
      <w:pPr>
        <w:pStyle w:val="ListParagraph"/>
        <w:numPr>
          <w:ilvl w:val="0"/>
          <w:numId w:val="13"/>
        </w:numPr>
        <w:jc w:val="both"/>
        <w:rPr>
          <w:rFonts w:cstheme="minorHAnsi"/>
          <w:sz w:val="22"/>
          <w:szCs w:val="22"/>
        </w:rPr>
      </w:pPr>
      <w:r w:rsidRPr="00CD5481">
        <w:rPr>
          <w:rFonts w:cstheme="minorHAnsi"/>
          <w:sz w:val="22"/>
          <w:szCs w:val="22"/>
        </w:rPr>
        <w:t>The material relied upon by the Respondent’s delegate when issuing the Barring Notice:</w:t>
      </w:r>
    </w:p>
    <w:p w:rsidR="00CD4CC8" w:rsidRPr="00CD4CC8" w:rsidRDefault="00CD4CC8" w:rsidP="00CD5481">
      <w:pPr>
        <w:pStyle w:val="ListParagraph"/>
        <w:ind w:left="1080"/>
        <w:jc w:val="both"/>
        <w:rPr>
          <w:rFonts w:cstheme="minorHAnsi"/>
          <w:sz w:val="22"/>
          <w:szCs w:val="22"/>
        </w:rPr>
      </w:pPr>
    </w:p>
    <w:p w:rsidR="007433B0" w:rsidRDefault="007433B0" w:rsidP="00684391">
      <w:pPr>
        <w:pStyle w:val="ListParagraph"/>
        <w:numPr>
          <w:ilvl w:val="0"/>
          <w:numId w:val="14"/>
        </w:numPr>
        <w:jc w:val="both"/>
        <w:rPr>
          <w:rFonts w:cstheme="minorHAnsi"/>
          <w:sz w:val="22"/>
          <w:szCs w:val="22"/>
        </w:rPr>
      </w:pPr>
      <w:r w:rsidRPr="00CD4CC8">
        <w:rPr>
          <w:rFonts w:cstheme="minorHAnsi"/>
          <w:sz w:val="22"/>
          <w:szCs w:val="22"/>
        </w:rPr>
        <w:t>Statement of Material Facts;</w:t>
      </w:r>
    </w:p>
    <w:p w:rsidR="00CD5481" w:rsidRPr="00CD4CC8" w:rsidRDefault="00CD5481" w:rsidP="00CD5481">
      <w:pPr>
        <w:pStyle w:val="ListParagraph"/>
        <w:ind w:left="1854"/>
        <w:jc w:val="both"/>
        <w:rPr>
          <w:rFonts w:cstheme="minorHAnsi"/>
          <w:sz w:val="22"/>
          <w:szCs w:val="22"/>
        </w:rPr>
      </w:pPr>
    </w:p>
    <w:p w:rsidR="007433B0" w:rsidRDefault="007433B0" w:rsidP="00684391">
      <w:pPr>
        <w:pStyle w:val="ListParagraph"/>
        <w:numPr>
          <w:ilvl w:val="0"/>
          <w:numId w:val="14"/>
        </w:numPr>
        <w:jc w:val="both"/>
        <w:rPr>
          <w:rFonts w:cstheme="minorHAnsi"/>
          <w:sz w:val="22"/>
          <w:szCs w:val="22"/>
        </w:rPr>
      </w:pPr>
      <w:r w:rsidRPr="00CD4CC8">
        <w:rPr>
          <w:rFonts w:cstheme="minorHAnsi"/>
          <w:sz w:val="22"/>
          <w:szCs w:val="22"/>
        </w:rPr>
        <w:t>Brief Jacket;</w:t>
      </w:r>
    </w:p>
    <w:p w:rsidR="00CD5481" w:rsidRPr="00CD5481" w:rsidRDefault="00CD5481" w:rsidP="00CD5481">
      <w:pPr>
        <w:jc w:val="both"/>
        <w:rPr>
          <w:rFonts w:cstheme="minorHAnsi"/>
          <w:sz w:val="22"/>
          <w:szCs w:val="22"/>
        </w:rPr>
      </w:pPr>
    </w:p>
    <w:p w:rsidR="007433B0" w:rsidRDefault="007433B0" w:rsidP="00684391">
      <w:pPr>
        <w:pStyle w:val="ListParagraph"/>
        <w:numPr>
          <w:ilvl w:val="0"/>
          <w:numId w:val="14"/>
        </w:numPr>
        <w:jc w:val="both"/>
        <w:rPr>
          <w:rFonts w:cstheme="minorHAnsi"/>
          <w:sz w:val="22"/>
          <w:szCs w:val="22"/>
        </w:rPr>
      </w:pPr>
      <w:r w:rsidRPr="00CD4CC8">
        <w:rPr>
          <w:rFonts w:cstheme="minorHAnsi"/>
          <w:sz w:val="22"/>
          <w:szCs w:val="22"/>
        </w:rPr>
        <w:t>Incident Report;</w:t>
      </w:r>
    </w:p>
    <w:p w:rsidR="00CD5481" w:rsidRPr="00CD5481" w:rsidRDefault="00CD5481" w:rsidP="00CD5481">
      <w:pPr>
        <w:jc w:val="both"/>
        <w:rPr>
          <w:rFonts w:cstheme="minorHAnsi"/>
          <w:sz w:val="22"/>
          <w:szCs w:val="22"/>
        </w:rPr>
      </w:pPr>
    </w:p>
    <w:p w:rsidR="007433B0" w:rsidRDefault="007433B0" w:rsidP="00684391">
      <w:pPr>
        <w:pStyle w:val="ListParagraph"/>
        <w:numPr>
          <w:ilvl w:val="0"/>
          <w:numId w:val="14"/>
        </w:numPr>
        <w:jc w:val="both"/>
        <w:rPr>
          <w:rFonts w:cstheme="minorHAnsi"/>
          <w:sz w:val="22"/>
          <w:szCs w:val="22"/>
        </w:rPr>
      </w:pPr>
      <w:r w:rsidRPr="00CD4CC8">
        <w:rPr>
          <w:rFonts w:cstheme="minorHAnsi"/>
          <w:sz w:val="22"/>
          <w:szCs w:val="22"/>
        </w:rPr>
        <w:t>CAD Incident Brief Report;</w:t>
      </w:r>
    </w:p>
    <w:p w:rsidR="00CD5481" w:rsidRPr="00CD5481" w:rsidRDefault="00CD5481" w:rsidP="00CD5481">
      <w:pPr>
        <w:jc w:val="both"/>
        <w:rPr>
          <w:rFonts w:cstheme="minorHAnsi"/>
          <w:sz w:val="22"/>
          <w:szCs w:val="22"/>
        </w:rPr>
      </w:pPr>
    </w:p>
    <w:p w:rsidR="007433B0" w:rsidRDefault="007433B0" w:rsidP="00684391">
      <w:pPr>
        <w:pStyle w:val="ListParagraph"/>
        <w:numPr>
          <w:ilvl w:val="0"/>
          <w:numId w:val="14"/>
        </w:numPr>
        <w:jc w:val="both"/>
        <w:rPr>
          <w:rFonts w:cstheme="minorHAnsi"/>
          <w:sz w:val="22"/>
          <w:szCs w:val="22"/>
        </w:rPr>
      </w:pPr>
      <w:r w:rsidRPr="00CD4CC8">
        <w:rPr>
          <w:rFonts w:cstheme="minorHAnsi"/>
          <w:sz w:val="22"/>
          <w:szCs w:val="22"/>
        </w:rPr>
        <w:t xml:space="preserve">Venue Incident Report; </w:t>
      </w:r>
    </w:p>
    <w:p w:rsidR="00CD5481" w:rsidRPr="00CD5481" w:rsidRDefault="00CD5481" w:rsidP="00CD5481">
      <w:pPr>
        <w:jc w:val="both"/>
        <w:rPr>
          <w:rFonts w:cstheme="minorHAnsi"/>
          <w:sz w:val="22"/>
          <w:szCs w:val="22"/>
        </w:rPr>
      </w:pPr>
    </w:p>
    <w:p w:rsidR="007433B0" w:rsidRDefault="007433B0" w:rsidP="00684391">
      <w:pPr>
        <w:pStyle w:val="ListParagraph"/>
        <w:numPr>
          <w:ilvl w:val="0"/>
          <w:numId w:val="14"/>
        </w:numPr>
        <w:jc w:val="both"/>
        <w:rPr>
          <w:rFonts w:cstheme="minorHAnsi"/>
          <w:sz w:val="22"/>
          <w:szCs w:val="22"/>
        </w:rPr>
      </w:pPr>
      <w:r w:rsidRPr="00CD4CC8">
        <w:rPr>
          <w:rFonts w:cstheme="minorHAnsi"/>
          <w:sz w:val="22"/>
          <w:szCs w:val="22"/>
        </w:rPr>
        <w:t xml:space="preserve">CCTV footage and a set of labelled screen captures produced by liquor enforcement officers; and </w:t>
      </w:r>
    </w:p>
    <w:p w:rsidR="00CD5481" w:rsidRPr="00CD5481" w:rsidRDefault="00CD5481" w:rsidP="00CD5481">
      <w:pPr>
        <w:jc w:val="both"/>
        <w:rPr>
          <w:rFonts w:cstheme="minorHAnsi"/>
          <w:sz w:val="22"/>
          <w:szCs w:val="22"/>
        </w:rPr>
      </w:pPr>
    </w:p>
    <w:p w:rsidR="007433B0" w:rsidRPr="00CD4CC8" w:rsidRDefault="007433B0" w:rsidP="00684391">
      <w:pPr>
        <w:pStyle w:val="ListParagraph"/>
        <w:numPr>
          <w:ilvl w:val="0"/>
          <w:numId w:val="14"/>
        </w:numPr>
        <w:jc w:val="both"/>
        <w:rPr>
          <w:rFonts w:cstheme="minorHAnsi"/>
          <w:sz w:val="22"/>
          <w:szCs w:val="22"/>
        </w:rPr>
      </w:pPr>
      <w:r w:rsidRPr="00CD4CC8">
        <w:rPr>
          <w:rFonts w:cstheme="minorHAnsi"/>
          <w:sz w:val="22"/>
          <w:szCs w:val="22"/>
        </w:rPr>
        <w:t>The Applicant’s Disclosable Court Outcomes – Criminal and Traffic.</w:t>
      </w:r>
    </w:p>
    <w:p w:rsidR="00CD4CC8" w:rsidRDefault="00CD4CC8" w:rsidP="00CD5481">
      <w:pPr>
        <w:jc w:val="both"/>
        <w:rPr>
          <w:rFonts w:cstheme="minorHAnsi"/>
          <w:sz w:val="22"/>
          <w:szCs w:val="22"/>
        </w:rPr>
      </w:pPr>
    </w:p>
    <w:p w:rsidR="007433B0" w:rsidRDefault="007433B0" w:rsidP="00684391">
      <w:pPr>
        <w:pStyle w:val="ListParagraph"/>
        <w:numPr>
          <w:ilvl w:val="0"/>
          <w:numId w:val="13"/>
        </w:numPr>
        <w:jc w:val="both"/>
        <w:rPr>
          <w:rFonts w:cstheme="minorHAnsi"/>
          <w:sz w:val="22"/>
          <w:szCs w:val="22"/>
        </w:rPr>
      </w:pPr>
      <w:r w:rsidRPr="00CD4CC8">
        <w:rPr>
          <w:rFonts w:cstheme="minorHAnsi"/>
          <w:sz w:val="22"/>
          <w:szCs w:val="22"/>
        </w:rPr>
        <w:t>The Respondent’s outline of submissions dated 2 April 2019.</w:t>
      </w:r>
    </w:p>
    <w:p w:rsidR="00CD4CC8" w:rsidRPr="00CD4CC8" w:rsidRDefault="00CD4CC8" w:rsidP="00CD5481">
      <w:pPr>
        <w:pStyle w:val="ListParagraph"/>
        <w:ind w:left="1080"/>
        <w:jc w:val="both"/>
        <w:rPr>
          <w:rFonts w:cstheme="minorHAnsi"/>
          <w:sz w:val="22"/>
          <w:szCs w:val="22"/>
        </w:rPr>
      </w:pPr>
    </w:p>
    <w:p w:rsidR="007433B0" w:rsidRPr="00CD4CC8" w:rsidRDefault="007433B0" w:rsidP="00CD5481">
      <w:pPr>
        <w:jc w:val="both"/>
        <w:rPr>
          <w:rFonts w:cstheme="minorHAnsi"/>
          <w:b/>
          <w:sz w:val="22"/>
          <w:szCs w:val="22"/>
        </w:rPr>
      </w:pPr>
      <w:r w:rsidRPr="00CD4CC8">
        <w:rPr>
          <w:rFonts w:cstheme="minorHAnsi"/>
          <w:b/>
          <w:sz w:val="22"/>
          <w:szCs w:val="22"/>
        </w:rPr>
        <w:t>The Incident</w:t>
      </w:r>
    </w:p>
    <w:p w:rsidR="007433B0" w:rsidRPr="007433B0" w:rsidRDefault="007433B0" w:rsidP="00CD5481">
      <w:pPr>
        <w:jc w:val="both"/>
        <w:rPr>
          <w:rFonts w:cstheme="minorHAnsi"/>
          <w:sz w:val="22"/>
          <w:szCs w:val="22"/>
        </w:rPr>
      </w:pPr>
    </w:p>
    <w:p w:rsidR="007433B0" w:rsidRPr="00CD4CC8" w:rsidRDefault="007433B0" w:rsidP="00684391">
      <w:pPr>
        <w:pStyle w:val="ListParagraph"/>
        <w:numPr>
          <w:ilvl w:val="0"/>
          <w:numId w:val="10"/>
        </w:numPr>
        <w:jc w:val="both"/>
        <w:rPr>
          <w:rFonts w:cstheme="minorHAnsi"/>
          <w:sz w:val="22"/>
          <w:szCs w:val="22"/>
        </w:rPr>
      </w:pPr>
      <w:r w:rsidRPr="00CD4CC8">
        <w:rPr>
          <w:rFonts w:cstheme="minorHAnsi"/>
          <w:sz w:val="22"/>
          <w:szCs w:val="22"/>
        </w:rPr>
        <w:t>Having considered all the materials before the Commission, I am satisfied of the following salient matters:</w:t>
      </w:r>
    </w:p>
    <w:p w:rsidR="007433B0" w:rsidRPr="007433B0" w:rsidRDefault="007433B0" w:rsidP="00CD5481">
      <w:pPr>
        <w:jc w:val="both"/>
        <w:rPr>
          <w:rFonts w:cstheme="minorHAnsi"/>
          <w:sz w:val="22"/>
          <w:szCs w:val="22"/>
        </w:rPr>
      </w:pPr>
    </w:p>
    <w:p w:rsidR="00837CAC" w:rsidRPr="00CD4CC8" w:rsidRDefault="00AB34A6" w:rsidP="00684391">
      <w:pPr>
        <w:pStyle w:val="ListParagraph"/>
        <w:numPr>
          <w:ilvl w:val="0"/>
          <w:numId w:val="15"/>
        </w:numPr>
        <w:ind w:left="1080"/>
        <w:jc w:val="both"/>
        <w:rPr>
          <w:rFonts w:cstheme="minorHAnsi"/>
          <w:sz w:val="22"/>
          <w:szCs w:val="22"/>
        </w:rPr>
      </w:pPr>
      <w:r w:rsidRPr="00CD4CC8">
        <w:rPr>
          <w:rFonts w:cstheme="minorHAnsi"/>
          <w:sz w:val="22"/>
          <w:szCs w:val="22"/>
        </w:rPr>
        <w:t>On</w:t>
      </w:r>
      <w:r w:rsidR="00083B7B" w:rsidRPr="00CD4CC8">
        <w:rPr>
          <w:rFonts w:cstheme="minorHAnsi"/>
          <w:sz w:val="22"/>
          <w:szCs w:val="22"/>
        </w:rPr>
        <w:t xml:space="preserve"> Thursday </w:t>
      </w:r>
      <w:r w:rsidRPr="00CD4CC8">
        <w:rPr>
          <w:rFonts w:cstheme="minorHAnsi"/>
          <w:sz w:val="22"/>
          <w:szCs w:val="22"/>
        </w:rPr>
        <w:t>27</w:t>
      </w:r>
      <w:r w:rsidR="00083B7B" w:rsidRPr="00CD4CC8">
        <w:rPr>
          <w:rFonts w:cstheme="minorHAnsi"/>
          <w:sz w:val="22"/>
          <w:szCs w:val="22"/>
        </w:rPr>
        <w:t xml:space="preserve"> December 2018, the </w:t>
      </w:r>
      <w:r w:rsidR="00C0209D" w:rsidRPr="00CD4CC8">
        <w:rPr>
          <w:rFonts w:cstheme="minorHAnsi"/>
          <w:sz w:val="22"/>
          <w:szCs w:val="22"/>
        </w:rPr>
        <w:t>Applicant</w:t>
      </w:r>
      <w:r w:rsidR="00083B7B" w:rsidRPr="00CD4CC8">
        <w:rPr>
          <w:rFonts w:cstheme="minorHAnsi"/>
          <w:sz w:val="22"/>
          <w:szCs w:val="22"/>
        </w:rPr>
        <w:t xml:space="preserve"> was </w:t>
      </w:r>
      <w:r w:rsidR="008C01DB" w:rsidRPr="00CD4CC8">
        <w:rPr>
          <w:rFonts w:cstheme="minorHAnsi"/>
          <w:sz w:val="22"/>
          <w:szCs w:val="22"/>
        </w:rPr>
        <w:t>inside</w:t>
      </w:r>
      <w:r w:rsidR="00083B7B" w:rsidRPr="00CD4CC8">
        <w:rPr>
          <w:rFonts w:cstheme="minorHAnsi"/>
          <w:sz w:val="22"/>
          <w:szCs w:val="22"/>
        </w:rPr>
        <w:t xml:space="preserve"> the </w:t>
      </w:r>
      <w:r w:rsidRPr="00CD4CC8">
        <w:rPr>
          <w:rFonts w:cstheme="minorHAnsi"/>
          <w:sz w:val="22"/>
          <w:szCs w:val="22"/>
        </w:rPr>
        <w:t xml:space="preserve">Venue </w:t>
      </w:r>
      <w:r w:rsidR="00C0209D" w:rsidRPr="00CD4CC8">
        <w:rPr>
          <w:rFonts w:cstheme="minorHAnsi"/>
          <w:sz w:val="22"/>
          <w:szCs w:val="22"/>
        </w:rPr>
        <w:t xml:space="preserve">located </w:t>
      </w:r>
      <w:r w:rsidRPr="00CD4CC8">
        <w:rPr>
          <w:rFonts w:cstheme="minorHAnsi"/>
          <w:sz w:val="22"/>
          <w:szCs w:val="22"/>
        </w:rPr>
        <w:t xml:space="preserve">near the </w:t>
      </w:r>
      <w:r w:rsidR="00083B7B" w:rsidRPr="00CD4CC8">
        <w:rPr>
          <w:rFonts w:cstheme="minorHAnsi"/>
          <w:sz w:val="22"/>
          <w:szCs w:val="22"/>
        </w:rPr>
        <w:t>Nort</w:t>
      </w:r>
      <w:r w:rsidR="00C0209D" w:rsidRPr="00CD4CC8">
        <w:rPr>
          <w:rFonts w:cstheme="minorHAnsi"/>
          <w:sz w:val="22"/>
          <w:szCs w:val="22"/>
        </w:rPr>
        <w:t>hbridge Piazza</w:t>
      </w:r>
      <w:r w:rsidR="00CD5481">
        <w:rPr>
          <w:rFonts w:cstheme="minorHAnsi"/>
          <w:sz w:val="22"/>
          <w:szCs w:val="22"/>
        </w:rPr>
        <w:t>.</w:t>
      </w:r>
    </w:p>
    <w:p w:rsidR="008144BB" w:rsidRPr="007433B0" w:rsidRDefault="008144BB" w:rsidP="00CD5481">
      <w:pPr>
        <w:ind w:left="360"/>
        <w:jc w:val="both"/>
        <w:rPr>
          <w:rFonts w:cstheme="minorHAnsi"/>
          <w:sz w:val="22"/>
          <w:szCs w:val="22"/>
        </w:rPr>
      </w:pPr>
    </w:p>
    <w:p w:rsidR="008C01DB" w:rsidRPr="00CD4CC8" w:rsidRDefault="00083B7B" w:rsidP="00684391">
      <w:pPr>
        <w:pStyle w:val="ListParagraph"/>
        <w:numPr>
          <w:ilvl w:val="0"/>
          <w:numId w:val="15"/>
        </w:numPr>
        <w:ind w:left="1080"/>
        <w:jc w:val="both"/>
        <w:rPr>
          <w:rFonts w:cstheme="minorHAnsi"/>
          <w:sz w:val="22"/>
          <w:szCs w:val="22"/>
        </w:rPr>
      </w:pPr>
      <w:r w:rsidRPr="00CD4CC8">
        <w:rPr>
          <w:rFonts w:cstheme="minorHAnsi"/>
          <w:sz w:val="22"/>
          <w:szCs w:val="22"/>
        </w:rPr>
        <w:t xml:space="preserve">The </w:t>
      </w:r>
      <w:r w:rsidR="000649CE" w:rsidRPr="00CD4CC8">
        <w:rPr>
          <w:rFonts w:cstheme="minorHAnsi"/>
          <w:sz w:val="22"/>
          <w:szCs w:val="22"/>
        </w:rPr>
        <w:t>Applicant</w:t>
      </w:r>
      <w:r w:rsidRPr="00CD4CC8">
        <w:rPr>
          <w:rFonts w:cstheme="minorHAnsi"/>
          <w:sz w:val="22"/>
          <w:szCs w:val="22"/>
        </w:rPr>
        <w:t xml:space="preserve"> </w:t>
      </w:r>
      <w:r w:rsidR="008C01DB" w:rsidRPr="00CD4CC8">
        <w:rPr>
          <w:rFonts w:cstheme="minorHAnsi"/>
          <w:sz w:val="22"/>
          <w:szCs w:val="22"/>
        </w:rPr>
        <w:t>became</w:t>
      </w:r>
      <w:r w:rsidRPr="00CD4CC8">
        <w:rPr>
          <w:rFonts w:cstheme="minorHAnsi"/>
          <w:sz w:val="22"/>
          <w:szCs w:val="22"/>
        </w:rPr>
        <w:t xml:space="preserve"> involved in a verbal argument with other patrons of the bar. The argument escalated into</w:t>
      </w:r>
      <w:r w:rsidR="00962C73" w:rsidRPr="00CD4CC8">
        <w:rPr>
          <w:rFonts w:cstheme="minorHAnsi"/>
          <w:sz w:val="22"/>
          <w:szCs w:val="22"/>
        </w:rPr>
        <w:t xml:space="preserve"> </w:t>
      </w:r>
      <w:r w:rsidRPr="00CD4CC8">
        <w:rPr>
          <w:rFonts w:cstheme="minorHAnsi"/>
          <w:sz w:val="22"/>
          <w:szCs w:val="22"/>
        </w:rPr>
        <w:t>a physical altercat</w:t>
      </w:r>
      <w:r w:rsidR="00A41BE1" w:rsidRPr="00CD4CC8">
        <w:rPr>
          <w:rFonts w:cstheme="minorHAnsi"/>
          <w:sz w:val="22"/>
          <w:szCs w:val="22"/>
        </w:rPr>
        <w:t xml:space="preserve">ion </w:t>
      </w:r>
      <w:r w:rsidR="008C01DB" w:rsidRPr="00CD4CC8">
        <w:rPr>
          <w:rFonts w:cstheme="minorHAnsi"/>
          <w:sz w:val="22"/>
          <w:szCs w:val="22"/>
        </w:rPr>
        <w:t>and the Applicant launched himsel</w:t>
      </w:r>
      <w:r w:rsidR="00CD5481">
        <w:rPr>
          <w:rFonts w:cstheme="minorHAnsi"/>
          <w:sz w:val="22"/>
          <w:szCs w:val="22"/>
        </w:rPr>
        <w:t>f off a table at another patron.</w:t>
      </w:r>
    </w:p>
    <w:p w:rsidR="008144BB" w:rsidRPr="007433B0" w:rsidRDefault="008144BB" w:rsidP="00CD5481">
      <w:pPr>
        <w:ind w:left="360"/>
        <w:jc w:val="both"/>
        <w:rPr>
          <w:rFonts w:cstheme="minorHAnsi"/>
          <w:sz w:val="22"/>
          <w:szCs w:val="22"/>
        </w:rPr>
      </w:pPr>
    </w:p>
    <w:p w:rsidR="008C01DB" w:rsidRPr="00CD4CC8" w:rsidRDefault="008C01DB" w:rsidP="00684391">
      <w:pPr>
        <w:pStyle w:val="ListParagraph"/>
        <w:numPr>
          <w:ilvl w:val="0"/>
          <w:numId w:val="15"/>
        </w:numPr>
        <w:ind w:left="1080"/>
        <w:jc w:val="both"/>
        <w:rPr>
          <w:rFonts w:cstheme="minorHAnsi"/>
          <w:sz w:val="22"/>
          <w:szCs w:val="22"/>
        </w:rPr>
      </w:pPr>
      <w:r w:rsidRPr="00CD4CC8">
        <w:rPr>
          <w:rFonts w:cstheme="minorHAnsi"/>
          <w:sz w:val="22"/>
          <w:szCs w:val="22"/>
        </w:rPr>
        <w:t>The Applicant was</w:t>
      </w:r>
      <w:r w:rsidR="00083B7B" w:rsidRPr="00CD4CC8">
        <w:rPr>
          <w:rFonts w:cstheme="minorHAnsi"/>
          <w:sz w:val="22"/>
          <w:szCs w:val="22"/>
        </w:rPr>
        <w:t xml:space="preserve"> evicted from the </w:t>
      </w:r>
      <w:r w:rsidRPr="00CD4CC8">
        <w:rPr>
          <w:rFonts w:cstheme="minorHAnsi"/>
          <w:sz w:val="22"/>
          <w:szCs w:val="22"/>
        </w:rPr>
        <w:t>Venue</w:t>
      </w:r>
      <w:r w:rsidR="00083B7B" w:rsidRPr="00CD4CC8">
        <w:rPr>
          <w:rFonts w:cstheme="minorHAnsi"/>
          <w:sz w:val="22"/>
          <w:szCs w:val="22"/>
        </w:rPr>
        <w:t xml:space="preserve"> by security</w:t>
      </w:r>
      <w:r w:rsidR="00CD5481">
        <w:rPr>
          <w:rFonts w:cstheme="minorHAnsi"/>
          <w:sz w:val="22"/>
          <w:szCs w:val="22"/>
        </w:rPr>
        <w:t>.</w:t>
      </w:r>
    </w:p>
    <w:p w:rsidR="008144BB" w:rsidRPr="007433B0" w:rsidRDefault="008144BB" w:rsidP="00CD5481">
      <w:pPr>
        <w:ind w:left="360"/>
        <w:jc w:val="both"/>
        <w:rPr>
          <w:rFonts w:cstheme="minorHAnsi"/>
          <w:sz w:val="22"/>
          <w:szCs w:val="22"/>
        </w:rPr>
      </w:pPr>
    </w:p>
    <w:p w:rsidR="00083B7B" w:rsidRPr="00CD4CC8" w:rsidRDefault="00D82B2B" w:rsidP="00684391">
      <w:pPr>
        <w:pStyle w:val="ListParagraph"/>
        <w:numPr>
          <w:ilvl w:val="0"/>
          <w:numId w:val="15"/>
        </w:numPr>
        <w:ind w:left="1080"/>
        <w:jc w:val="both"/>
        <w:rPr>
          <w:rFonts w:cstheme="minorHAnsi"/>
          <w:sz w:val="22"/>
          <w:szCs w:val="22"/>
        </w:rPr>
      </w:pPr>
      <w:r w:rsidRPr="00CD4CC8">
        <w:rPr>
          <w:rFonts w:cstheme="minorHAnsi"/>
          <w:sz w:val="22"/>
          <w:szCs w:val="22"/>
        </w:rPr>
        <w:t>Once outside the Venue, p</w:t>
      </w:r>
      <w:r w:rsidR="00083B7B" w:rsidRPr="00CD4CC8">
        <w:rPr>
          <w:rFonts w:cstheme="minorHAnsi"/>
          <w:sz w:val="22"/>
          <w:szCs w:val="22"/>
        </w:rPr>
        <w:t xml:space="preserve">olice attempted to speak with </w:t>
      </w:r>
      <w:r w:rsidR="00C0209D" w:rsidRPr="00CD4CC8">
        <w:rPr>
          <w:rFonts w:cstheme="minorHAnsi"/>
          <w:sz w:val="22"/>
          <w:szCs w:val="22"/>
        </w:rPr>
        <w:t xml:space="preserve">the Applicant who was hostile and started to </w:t>
      </w:r>
      <w:r w:rsidR="00FD34DD">
        <w:rPr>
          <w:rFonts w:cstheme="minorHAnsi"/>
          <w:sz w:val="22"/>
          <w:szCs w:val="22"/>
        </w:rPr>
        <w:t>move</w:t>
      </w:r>
      <w:r w:rsidR="00C0209D" w:rsidRPr="00CD4CC8">
        <w:rPr>
          <w:rFonts w:cstheme="minorHAnsi"/>
          <w:sz w:val="22"/>
          <w:szCs w:val="22"/>
        </w:rPr>
        <w:t xml:space="preserve"> away. W</w:t>
      </w:r>
      <w:r w:rsidR="00083B7B" w:rsidRPr="00CD4CC8">
        <w:rPr>
          <w:rFonts w:cstheme="minorHAnsi"/>
          <w:sz w:val="22"/>
          <w:szCs w:val="22"/>
        </w:rPr>
        <w:t xml:space="preserve">hile </w:t>
      </w:r>
      <w:r w:rsidR="00FD34DD">
        <w:rPr>
          <w:rFonts w:cstheme="minorHAnsi"/>
          <w:sz w:val="22"/>
          <w:szCs w:val="22"/>
        </w:rPr>
        <w:t>moving</w:t>
      </w:r>
      <w:r w:rsidR="00083B7B" w:rsidRPr="00CD4CC8">
        <w:rPr>
          <w:rFonts w:cstheme="minorHAnsi"/>
          <w:sz w:val="22"/>
          <w:szCs w:val="22"/>
        </w:rPr>
        <w:t xml:space="preserve"> away the </w:t>
      </w:r>
      <w:r w:rsidR="00C0209D" w:rsidRPr="00CD4CC8">
        <w:rPr>
          <w:rFonts w:cstheme="minorHAnsi"/>
          <w:sz w:val="22"/>
          <w:szCs w:val="22"/>
        </w:rPr>
        <w:t>Applicant</w:t>
      </w:r>
      <w:r w:rsidR="00083B7B" w:rsidRPr="00CD4CC8">
        <w:rPr>
          <w:rFonts w:cstheme="minorHAnsi"/>
          <w:sz w:val="22"/>
          <w:szCs w:val="22"/>
        </w:rPr>
        <w:t xml:space="preserve"> continued to abuse officers.</w:t>
      </w:r>
    </w:p>
    <w:p w:rsidR="008144BB" w:rsidRPr="007433B0" w:rsidRDefault="008144BB" w:rsidP="00CD5481">
      <w:pPr>
        <w:ind w:left="360"/>
        <w:jc w:val="both"/>
        <w:rPr>
          <w:rFonts w:cstheme="minorHAnsi"/>
          <w:sz w:val="22"/>
          <w:szCs w:val="22"/>
        </w:rPr>
      </w:pPr>
    </w:p>
    <w:p w:rsidR="000C4BF6" w:rsidRPr="00CD4CC8" w:rsidRDefault="00083B7B" w:rsidP="00684391">
      <w:pPr>
        <w:pStyle w:val="ListParagraph"/>
        <w:numPr>
          <w:ilvl w:val="0"/>
          <w:numId w:val="15"/>
        </w:numPr>
        <w:ind w:left="1080"/>
        <w:jc w:val="both"/>
        <w:rPr>
          <w:rFonts w:cstheme="minorHAnsi"/>
          <w:sz w:val="22"/>
          <w:szCs w:val="22"/>
        </w:rPr>
      </w:pPr>
      <w:r w:rsidRPr="00CD4CC8">
        <w:rPr>
          <w:rFonts w:cstheme="minorHAnsi"/>
          <w:sz w:val="22"/>
          <w:szCs w:val="22"/>
        </w:rPr>
        <w:t xml:space="preserve">The </w:t>
      </w:r>
      <w:r w:rsidR="00C0209D" w:rsidRPr="00CD4CC8">
        <w:rPr>
          <w:rFonts w:cstheme="minorHAnsi"/>
          <w:sz w:val="22"/>
          <w:szCs w:val="22"/>
        </w:rPr>
        <w:t>Applicant</w:t>
      </w:r>
      <w:r w:rsidRPr="00CD4CC8">
        <w:rPr>
          <w:rFonts w:cstheme="minorHAnsi"/>
          <w:sz w:val="22"/>
          <w:szCs w:val="22"/>
        </w:rPr>
        <w:t xml:space="preserve"> </w:t>
      </w:r>
      <w:r w:rsidR="00FD34DD">
        <w:rPr>
          <w:rFonts w:cstheme="minorHAnsi"/>
          <w:sz w:val="22"/>
          <w:szCs w:val="22"/>
        </w:rPr>
        <w:t>walked into</w:t>
      </w:r>
      <w:r w:rsidRPr="00CD4CC8">
        <w:rPr>
          <w:rFonts w:cstheme="minorHAnsi"/>
          <w:sz w:val="22"/>
          <w:szCs w:val="22"/>
        </w:rPr>
        <w:t xml:space="preserve"> the Piazza and </w:t>
      </w:r>
      <w:r w:rsidR="00613DE6" w:rsidRPr="00CD4CC8">
        <w:rPr>
          <w:rFonts w:cstheme="minorHAnsi"/>
          <w:sz w:val="22"/>
          <w:szCs w:val="22"/>
        </w:rPr>
        <w:t xml:space="preserve">then ran towards an officer </w:t>
      </w:r>
      <w:r w:rsidRPr="00CD4CC8">
        <w:rPr>
          <w:rFonts w:cstheme="minorHAnsi"/>
          <w:sz w:val="22"/>
          <w:szCs w:val="22"/>
        </w:rPr>
        <w:t>attempt</w:t>
      </w:r>
      <w:r w:rsidR="00613DE6" w:rsidRPr="00CD4CC8">
        <w:rPr>
          <w:rFonts w:cstheme="minorHAnsi"/>
          <w:sz w:val="22"/>
          <w:szCs w:val="22"/>
        </w:rPr>
        <w:t>ing</w:t>
      </w:r>
      <w:r w:rsidRPr="00CD4CC8">
        <w:rPr>
          <w:rFonts w:cstheme="minorHAnsi"/>
          <w:sz w:val="22"/>
          <w:szCs w:val="22"/>
        </w:rPr>
        <w:t xml:space="preserve"> to knock him to the ground. The </w:t>
      </w:r>
      <w:r w:rsidR="00D82B2B" w:rsidRPr="00CD4CC8">
        <w:rPr>
          <w:rFonts w:cstheme="minorHAnsi"/>
          <w:sz w:val="22"/>
          <w:szCs w:val="22"/>
        </w:rPr>
        <w:t>Applicant</w:t>
      </w:r>
      <w:r w:rsidRPr="00CD4CC8">
        <w:rPr>
          <w:rFonts w:cstheme="minorHAnsi"/>
          <w:sz w:val="22"/>
          <w:szCs w:val="22"/>
        </w:rPr>
        <w:t xml:space="preserve"> </w:t>
      </w:r>
      <w:r w:rsidR="00613DE6" w:rsidRPr="00CD4CC8">
        <w:rPr>
          <w:rFonts w:cstheme="minorHAnsi"/>
          <w:sz w:val="22"/>
          <w:szCs w:val="22"/>
        </w:rPr>
        <w:t xml:space="preserve">actively resisted arrest </w:t>
      </w:r>
      <w:r w:rsidR="00D82B2B" w:rsidRPr="00CD4CC8">
        <w:rPr>
          <w:rFonts w:cstheme="minorHAnsi"/>
          <w:sz w:val="22"/>
          <w:szCs w:val="22"/>
        </w:rPr>
        <w:t>however despite also being impeded by others,</w:t>
      </w:r>
      <w:r w:rsidR="00613DE6" w:rsidRPr="00CD4CC8">
        <w:rPr>
          <w:rFonts w:cstheme="minorHAnsi"/>
          <w:sz w:val="22"/>
          <w:szCs w:val="22"/>
        </w:rPr>
        <w:t xml:space="preserve"> officers were </w:t>
      </w:r>
      <w:r w:rsidR="00C0209D" w:rsidRPr="00CD4CC8">
        <w:rPr>
          <w:rFonts w:cstheme="minorHAnsi"/>
          <w:sz w:val="22"/>
          <w:szCs w:val="22"/>
        </w:rPr>
        <w:t xml:space="preserve">eventually </w:t>
      </w:r>
      <w:r w:rsidR="00613DE6" w:rsidRPr="00CD4CC8">
        <w:rPr>
          <w:rFonts w:cstheme="minorHAnsi"/>
          <w:sz w:val="22"/>
          <w:szCs w:val="22"/>
        </w:rPr>
        <w:t xml:space="preserve">able to restrain the Applicant. </w:t>
      </w:r>
    </w:p>
    <w:p w:rsidR="008144BB" w:rsidRPr="007433B0" w:rsidRDefault="008144BB" w:rsidP="00CD5481">
      <w:pPr>
        <w:jc w:val="both"/>
        <w:rPr>
          <w:rFonts w:cstheme="minorHAnsi"/>
          <w:sz w:val="22"/>
          <w:szCs w:val="22"/>
        </w:rPr>
      </w:pPr>
    </w:p>
    <w:p w:rsidR="000C4BF6" w:rsidRPr="00CD4CC8" w:rsidRDefault="00AB34A6" w:rsidP="00684391">
      <w:pPr>
        <w:pStyle w:val="ListParagraph"/>
        <w:numPr>
          <w:ilvl w:val="0"/>
          <w:numId w:val="10"/>
        </w:numPr>
        <w:jc w:val="both"/>
        <w:rPr>
          <w:rFonts w:cstheme="minorHAnsi"/>
          <w:sz w:val="22"/>
          <w:szCs w:val="22"/>
        </w:rPr>
      </w:pPr>
      <w:r w:rsidRPr="00CD4CC8">
        <w:rPr>
          <w:rFonts w:cstheme="minorHAnsi"/>
          <w:sz w:val="22"/>
          <w:szCs w:val="22"/>
        </w:rPr>
        <w:t xml:space="preserve">The Applicant does not dispute that the Incident </w:t>
      </w:r>
      <w:proofErr w:type="gramStart"/>
      <w:r w:rsidRPr="00CD4CC8">
        <w:rPr>
          <w:rFonts w:cstheme="minorHAnsi"/>
          <w:sz w:val="22"/>
          <w:szCs w:val="22"/>
        </w:rPr>
        <w:t>occurred</w:t>
      </w:r>
      <w:proofErr w:type="gramEnd"/>
      <w:r w:rsidRPr="00CD4CC8">
        <w:rPr>
          <w:rFonts w:cstheme="minorHAnsi"/>
          <w:sz w:val="22"/>
          <w:szCs w:val="22"/>
        </w:rPr>
        <w:t xml:space="preserve"> and t</w:t>
      </w:r>
      <w:r w:rsidR="000C4BF6" w:rsidRPr="00CD4CC8">
        <w:rPr>
          <w:rFonts w:cstheme="minorHAnsi"/>
          <w:sz w:val="22"/>
          <w:szCs w:val="22"/>
        </w:rPr>
        <w:t>he evidential material is consistent</w:t>
      </w:r>
      <w:r w:rsidR="00394C4E" w:rsidRPr="00CD4CC8">
        <w:rPr>
          <w:rFonts w:cstheme="minorHAnsi"/>
          <w:sz w:val="22"/>
          <w:szCs w:val="22"/>
        </w:rPr>
        <w:t xml:space="preserve"> </w:t>
      </w:r>
      <w:r w:rsidR="00C0209D" w:rsidRPr="00CD4CC8">
        <w:rPr>
          <w:rFonts w:cstheme="minorHAnsi"/>
          <w:sz w:val="22"/>
          <w:szCs w:val="22"/>
        </w:rPr>
        <w:t>with the factual findings set out</w:t>
      </w:r>
      <w:r w:rsidR="00240382" w:rsidRPr="00CD4CC8">
        <w:rPr>
          <w:rFonts w:cstheme="minorHAnsi"/>
          <w:sz w:val="22"/>
          <w:szCs w:val="22"/>
        </w:rPr>
        <w:t xml:space="preserve"> above.</w:t>
      </w:r>
      <w:r w:rsidR="000C4BF6" w:rsidRPr="00CD4CC8">
        <w:rPr>
          <w:rFonts w:cstheme="minorHAnsi"/>
          <w:sz w:val="22"/>
          <w:szCs w:val="22"/>
        </w:rPr>
        <w:t xml:space="preserve"> </w:t>
      </w:r>
    </w:p>
    <w:p w:rsidR="00CD4CC8" w:rsidRPr="007433B0" w:rsidRDefault="00CD4CC8" w:rsidP="00CD5481">
      <w:pPr>
        <w:jc w:val="both"/>
        <w:rPr>
          <w:rFonts w:cstheme="minorHAnsi"/>
          <w:sz w:val="22"/>
          <w:szCs w:val="22"/>
        </w:rPr>
      </w:pPr>
    </w:p>
    <w:p w:rsidR="000C4BF6" w:rsidRDefault="000C4BF6" w:rsidP="00CD5481">
      <w:pPr>
        <w:jc w:val="both"/>
        <w:rPr>
          <w:rFonts w:cstheme="minorHAnsi"/>
          <w:b/>
          <w:sz w:val="22"/>
          <w:szCs w:val="22"/>
        </w:rPr>
      </w:pPr>
      <w:r w:rsidRPr="00CD4CC8">
        <w:rPr>
          <w:rFonts w:cstheme="minorHAnsi"/>
          <w:b/>
          <w:sz w:val="22"/>
          <w:szCs w:val="22"/>
        </w:rPr>
        <w:t>Submissions by the Applicant  </w:t>
      </w:r>
    </w:p>
    <w:p w:rsidR="00CD4CC8" w:rsidRPr="00CD4CC8" w:rsidRDefault="00CD4CC8" w:rsidP="00CD5481">
      <w:pPr>
        <w:jc w:val="both"/>
        <w:rPr>
          <w:rFonts w:cstheme="minorHAnsi"/>
          <w:b/>
          <w:sz w:val="22"/>
          <w:szCs w:val="22"/>
        </w:rPr>
      </w:pPr>
    </w:p>
    <w:p w:rsidR="000C4BF6" w:rsidRDefault="000C4BF6" w:rsidP="00684391">
      <w:pPr>
        <w:pStyle w:val="ListParagraph"/>
        <w:numPr>
          <w:ilvl w:val="0"/>
          <w:numId w:val="10"/>
        </w:numPr>
        <w:jc w:val="both"/>
        <w:rPr>
          <w:rFonts w:cstheme="minorHAnsi"/>
          <w:sz w:val="22"/>
          <w:szCs w:val="22"/>
        </w:rPr>
      </w:pPr>
      <w:r w:rsidRPr="00CD4CC8">
        <w:rPr>
          <w:rFonts w:cstheme="minorHAnsi"/>
          <w:sz w:val="22"/>
          <w:szCs w:val="22"/>
        </w:rPr>
        <w:t xml:space="preserve">The Applicant </w:t>
      </w:r>
      <w:r w:rsidR="00394C4E" w:rsidRPr="00CD4CC8">
        <w:rPr>
          <w:rFonts w:cstheme="minorHAnsi"/>
          <w:sz w:val="22"/>
          <w:szCs w:val="22"/>
        </w:rPr>
        <w:t xml:space="preserve">submitted the following in </w:t>
      </w:r>
      <w:r w:rsidR="007E599F" w:rsidRPr="00CD4CC8">
        <w:rPr>
          <w:rFonts w:cstheme="minorHAnsi"/>
          <w:sz w:val="22"/>
          <w:szCs w:val="22"/>
        </w:rPr>
        <w:t>the grounds</w:t>
      </w:r>
      <w:r w:rsidR="00F342D3" w:rsidRPr="00CD4CC8">
        <w:rPr>
          <w:rFonts w:cstheme="minorHAnsi"/>
          <w:sz w:val="22"/>
          <w:szCs w:val="22"/>
        </w:rPr>
        <w:t xml:space="preserve"> for the Application</w:t>
      </w:r>
      <w:r w:rsidR="007E599F" w:rsidRPr="00CD4CC8">
        <w:rPr>
          <w:rFonts w:cstheme="minorHAnsi"/>
          <w:sz w:val="22"/>
          <w:szCs w:val="22"/>
        </w:rPr>
        <w:t xml:space="preserve"> (“Grounds”)</w:t>
      </w:r>
      <w:r w:rsidR="00394C4E" w:rsidRPr="00CD4CC8">
        <w:rPr>
          <w:rFonts w:cstheme="minorHAnsi"/>
          <w:sz w:val="22"/>
          <w:szCs w:val="22"/>
        </w:rPr>
        <w:t>:</w:t>
      </w:r>
      <w:r w:rsidRPr="00CD4CC8">
        <w:rPr>
          <w:rFonts w:cstheme="minorHAnsi"/>
          <w:sz w:val="22"/>
          <w:szCs w:val="22"/>
        </w:rPr>
        <w:t> </w:t>
      </w:r>
    </w:p>
    <w:p w:rsidR="00CD4CC8" w:rsidRPr="00CD4CC8" w:rsidRDefault="00CD4CC8" w:rsidP="00CD5481">
      <w:pPr>
        <w:pStyle w:val="ListParagraph"/>
        <w:jc w:val="both"/>
        <w:rPr>
          <w:rFonts w:cstheme="minorHAnsi"/>
          <w:sz w:val="22"/>
          <w:szCs w:val="22"/>
        </w:rPr>
      </w:pPr>
    </w:p>
    <w:p w:rsidR="00C0209D" w:rsidRDefault="00C0209D" w:rsidP="00684391">
      <w:pPr>
        <w:pStyle w:val="ListParagraph"/>
        <w:numPr>
          <w:ilvl w:val="0"/>
          <w:numId w:val="16"/>
        </w:numPr>
        <w:jc w:val="both"/>
        <w:rPr>
          <w:rFonts w:cstheme="minorHAnsi"/>
          <w:sz w:val="22"/>
          <w:szCs w:val="22"/>
        </w:rPr>
      </w:pPr>
      <w:r w:rsidRPr="00CD4CC8">
        <w:rPr>
          <w:rFonts w:cstheme="minorHAnsi"/>
          <w:sz w:val="22"/>
          <w:szCs w:val="22"/>
        </w:rPr>
        <w:t>he was granted a spent conviction due to his prior good character;</w:t>
      </w:r>
    </w:p>
    <w:p w:rsidR="00CD4CC8" w:rsidRPr="00CD4CC8" w:rsidRDefault="00CD4CC8" w:rsidP="00CD5481">
      <w:pPr>
        <w:pStyle w:val="ListParagraph"/>
        <w:ind w:left="1080"/>
        <w:jc w:val="both"/>
        <w:rPr>
          <w:rFonts w:cstheme="minorHAnsi"/>
          <w:sz w:val="22"/>
          <w:szCs w:val="22"/>
        </w:rPr>
      </w:pPr>
    </w:p>
    <w:p w:rsidR="00962C73" w:rsidRDefault="00C0209D" w:rsidP="00684391">
      <w:pPr>
        <w:pStyle w:val="ListParagraph"/>
        <w:numPr>
          <w:ilvl w:val="0"/>
          <w:numId w:val="16"/>
        </w:numPr>
        <w:jc w:val="both"/>
        <w:rPr>
          <w:rFonts w:cstheme="minorHAnsi"/>
          <w:sz w:val="22"/>
          <w:szCs w:val="22"/>
        </w:rPr>
      </w:pPr>
      <w:r w:rsidRPr="00CD4CC8">
        <w:rPr>
          <w:rFonts w:cstheme="minorHAnsi"/>
          <w:sz w:val="22"/>
          <w:szCs w:val="22"/>
        </w:rPr>
        <w:t>he</w:t>
      </w:r>
      <w:r w:rsidR="00394C4E" w:rsidRPr="00CD4CC8">
        <w:rPr>
          <w:rFonts w:cstheme="minorHAnsi"/>
          <w:sz w:val="22"/>
          <w:szCs w:val="22"/>
        </w:rPr>
        <w:t xml:space="preserve"> feels he </w:t>
      </w:r>
      <w:r w:rsidR="00962C73" w:rsidRPr="00CD4CC8">
        <w:rPr>
          <w:rFonts w:cstheme="minorHAnsi"/>
          <w:sz w:val="22"/>
          <w:szCs w:val="22"/>
        </w:rPr>
        <w:t>is being unfairly treated as the consequences of his actions have been dealt with;</w:t>
      </w:r>
    </w:p>
    <w:p w:rsidR="00CD4CC8" w:rsidRPr="00CD4CC8" w:rsidRDefault="00CD4CC8" w:rsidP="00CD5481">
      <w:pPr>
        <w:jc w:val="both"/>
        <w:rPr>
          <w:rFonts w:cstheme="minorHAnsi"/>
          <w:sz w:val="22"/>
          <w:szCs w:val="22"/>
        </w:rPr>
      </w:pPr>
    </w:p>
    <w:p w:rsidR="00CD4CC8" w:rsidRDefault="00071AB9" w:rsidP="00684391">
      <w:pPr>
        <w:pStyle w:val="ListParagraph"/>
        <w:numPr>
          <w:ilvl w:val="0"/>
          <w:numId w:val="16"/>
        </w:numPr>
        <w:jc w:val="both"/>
        <w:rPr>
          <w:rFonts w:cstheme="minorHAnsi"/>
          <w:sz w:val="22"/>
          <w:szCs w:val="22"/>
        </w:rPr>
      </w:pPr>
      <w:r w:rsidRPr="00CD4CC8">
        <w:rPr>
          <w:rFonts w:cstheme="minorHAnsi"/>
          <w:sz w:val="22"/>
          <w:szCs w:val="22"/>
        </w:rPr>
        <w:t>h</w:t>
      </w:r>
      <w:r w:rsidR="00962C73" w:rsidRPr="00CD4CC8">
        <w:rPr>
          <w:rFonts w:cstheme="minorHAnsi"/>
          <w:sz w:val="22"/>
          <w:szCs w:val="22"/>
        </w:rPr>
        <w:t xml:space="preserve">e </w:t>
      </w:r>
      <w:r w:rsidR="00F342D3" w:rsidRPr="00CD4CC8">
        <w:rPr>
          <w:rFonts w:cstheme="minorHAnsi"/>
          <w:sz w:val="22"/>
          <w:szCs w:val="22"/>
        </w:rPr>
        <w:t>has shown</w:t>
      </w:r>
      <w:r w:rsidR="00962C73" w:rsidRPr="00CD4CC8">
        <w:rPr>
          <w:rFonts w:cstheme="minorHAnsi"/>
          <w:sz w:val="22"/>
          <w:szCs w:val="22"/>
        </w:rPr>
        <w:t xml:space="preserve"> remorse and </w:t>
      </w:r>
      <w:r w:rsidR="00F342D3" w:rsidRPr="00CD4CC8">
        <w:rPr>
          <w:rFonts w:cstheme="minorHAnsi"/>
          <w:sz w:val="22"/>
          <w:szCs w:val="22"/>
        </w:rPr>
        <w:t xml:space="preserve">he has not taken the consequences of his actions </w:t>
      </w:r>
      <w:r w:rsidR="00962C73" w:rsidRPr="00CD4CC8">
        <w:rPr>
          <w:rFonts w:cstheme="minorHAnsi"/>
          <w:sz w:val="22"/>
          <w:szCs w:val="22"/>
        </w:rPr>
        <w:t>lightly;</w:t>
      </w:r>
    </w:p>
    <w:p w:rsidR="00CD5481" w:rsidRPr="00CD5481" w:rsidRDefault="00CD5481" w:rsidP="00CD5481">
      <w:pPr>
        <w:jc w:val="both"/>
        <w:rPr>
          <w:rFonts w:cstheme="minorHAnsi"/>
          <w:sz w:val="22"/>
          <w:szCs w:val="22"/>
        </w:rPr>
      </w:pPr>
    </w:p>
    <w:p w:rsidR="00A41BE1" w:rsidRDefault="00071AB9" w:rsidP="00684391">
      <w:pPr>
        <w:pStyle w:val="ListParagraph"/>
        <w:numPr>
          <w:ilvl w:val="0"/>
          <w:numId w:val="16"/>
        </w:numPr>
        <w:jc w:val="both"/>
        <w:rPr>
          <w:rFonts w:cstheme="minorHAnsi"/>
          <w:sz w:val="22"/>
          <w:szCs w:val="22"/>
        </w:rPr>
      </w:pPr>
      <w:r w:rsidRPr="00CD4CC8">
        <w:rPr>
          <w:rFonts w:cstheme="minorHAnsi"/>
          <w:sz w:val="22"/>
          <w:szCs w:val="22"/>
        </w:rPr>
        <w:t>he</w:t>
      </w:r>
      <w:r w:rsidR="00850BF0" w:rsidRPr="00CD4CC8">
        <w:rPr>
          <w:rFonts w:cstheme="minorHAnsi"/>
          <w:sz w:val="22"/>
          <w:szCs w:val="22"/>
        </w:rPr>
        <w:t xml:space="preserve"> understands </w:t>
      </w:r>
      <w:r w:rsidR="00F342D3" w:rsidRPr="00CD4CC8">
        <w:rPr>
          <w:rFonts w:cstheme="minorHAnsi"/>
          <w:sz w:val="22"/>
          <w:szCs w:val="22"/>
        </w:rPr>
        <w:t>the</w:t>
      </w:r>
      <w:r w:rsidR="00850BF0" w:rsidRPr="00CD4CC8">
        <w:rPr>
          <w:rFonts w:cstheme="minorHAnsi"/>
          <w:sz w:val="22"/>
          <w:szCs w:val="22"/>
        </w:rPr>
        <w:t xml:space="preserve"> </w:t>
      </w:r>
      <w:r w:rsidR="00962C73" w:rsidRPr="00CD4CC8">
        <w:rPr>
          <w:rFonts w:cstheme="minorHAnsi"/>
          <w:sz w:val="22"/>
          <w:szCs w:val="22"/>
        </w:rPr>
        <w:t xml:space="preserve">mistakes </w:t>
      </w:r>
      <w:r w:rsidR="00FD34DD">
        <w:rPr>
          <w:rFonts w:cstheme="minorHAnsi"/>
          <w:sz w:val="22"/>
          <w:szCs w:val="22"/>
        </w:rPr>
        <w:t xml:space="preserve">he </w:t>
      </w:r>
      <w:r w:rsidR="001B3306">
        <w:rPr>
          <w:rFonts w:cstheme="minorHAnsi"/>
          <w:sz w:val="22"/>
          <w:szCs w:val="22"/>
        </w:rPr>
        <w:t>made,</w:t>
      </w:r>
      <w:r w:rsidR="00FD34DD">
        <w:rPr>
          <w:rFonts w:cstheme="minorHAnsi"/>
          <w:sz w:val="22"/>
          <w:szCs w:val="22"/>
        </w:rPr>
        <w:t xml:space="preserve"> and</w:t>
      </w:r>
      <w:r w:rsidR="00C0209D" w:rsidRPr="00CD4CC8">
        <w:rPr>
          <w:rFonts w:cstheme="minorHAnsi"/>
          <w:sz w:val="22"/>
          <w:szCs w:val="22"/>
        </w:rPr>
        <w:t xml:space="preserve"> his behaviour</w:t>
      </w:r>
      <w:r w:rsidR="00962C73" w:rsidRPr="00CD4CC8">
        <w:rPr>
          <w:rFonts w:cstheme="minorHAnsi"/>
          <w:sz w:val="22"/>
          <w:szCs w:val="22"/>
        </w:rPr>
        <w:t xml:space="preserve"> was out of character </w:t>
      </w:r>
      <w:r w:rsidR="00A41BE1" w:rsidRPr="00CD4CC8">
        <w:rPr>
          <w:rFonts w:cstheme="minorHAnsi"/>
          <w:sz w:val="22"/>
          <w:szCs w:val="22"/>
        </w:rPr>
        <w:t>for him</w:t>
      </w:r>
      <w:r w:rsidRPr="00CD4CC8">
        <w:rPr>
          <w:rFonts w:cstheme="minorHAnsi"/>
          <w:sz w:val="22"/>
          <w:szCs w:val="22"/>
        </w:rPr>
        <w:t>;</w:t>
      </w:r>
    </w:p>
    <w:p w:rsidR="00CD4CC8" w:rsidRPr="00CD4CC8" w:rsidRDefault="00CD4CC8" w:rsidP="00CD5481">
      <w:pPr>
        <w:pStyle w:val="ListParagraph"/>
        <w:ind w:left="1080"/>
        <w:jc w:val="both"/>
        <w:rPr>
          <w:rFonts w:cstheme="minorHAnsi"/>
          <w:sz w:val="22"/>
          <w:szCs w:val="22"/>
        </w:rPr>
      </w:pPr>
    </w:p>
    <w:p w:rsidR="00962C73" w:rsidRDefault="00071AB9" w:rsidP="00684391">
      <w:pPr>
        <w:pStyle w:val="ListParagraph"/>
        <w:numPr>
          <w:ilvl w:val="0"/>
          <w:numId w:val="16"/>
        </w:numPr>
        <w:jc w:val="both"/>
        <w:rPr>
          <w:rFonts w:cstheme="minorHAnsi"/>
          <w:sz w:val="22"/>
          <w:szCs w:val="22"/>
        </w:rPr>
      </w:pPr>
      <w:r w:rsidRPr="00CD4CC8">
        <w:rPr>
          <w:rFonts w:cstheme="minorHAnsi"/>
          <w:sz w:val="22"/>
          <w:szCs w:val="22"/>
        </w:rPr>
        <w:t>s</w:t>
      </w:r>
      <w:r w:rsidR="00962C73" w:rsidRPr="00CD4CC8">
        <w:rPr>
          <w:rFonts w:cstheme="minorHAnsi"/>
          <w:sz w:val="22"/>
          <w:szCs w:val="22"/>
        </w:rPr>
        <w:t xml:space="preserve">ince the court case he has taken many things into consideration to adjust his attitude </w:t>
      </w:r>
      <w:r w:rsidR="00A41BE1" w:rsidRPr="00CD4CC8">
        <w:rPr>
          <w:rFonts w:cstheme="minorHAnsi"/>
          <w:sz w:val="22"/>
          <w:szCs w:val="22"/>
        </w:rPr>
        <w:t xml:space="preserve">and </w:t>
      </w:r>
      <w:r w:rsidR="00962C73" w:rsidRPr="00CD4CC8">
        <w:rPr>
          <w:rFonts w:cstheme="minorHAnsi"/>
          <w:sz w:val="22"/>
          <w:szCs w:val="22"/>
        </w:rPr>
        <w:t>the way he approaches different situations.</w:t>
      </w:r>
      <w:r w:rsidR="00A41BE1" w:rsidRPr="00CD4CC8">
        <w:rPr>
          <w:rFonts w:cstheme="minorHAnsi"/>
          <w:sz w:val="22"/>
          <w:szCs w:val="22"/>
        </w:rPr>
        <w:t xml:space="preserve"> </w:t>
      </w:r>
      <w:r w:rsidR="00C0209D" w:rsidRPr="00CD4CC8">
        <w:rPr>
          <w:rFonts w:cstheme="minorHAnsi"/>
          <w:sz w:val="22"/>
          <w:szCs w:val="22"/>
        </w:rPr>
        <w:t>This includes</w:t>
      </w:r>
      <w:r w:rsidR="00962C73" w:rsidRPr="00CD4CC8">
        <w:rPr>
          <w:rFonts w:cstheme="minorHAnsi"/>
          <w:sz w:val="22"/>
          <w:szCs w:val="22"/>
        </w:rPr>
        <w:t xml:space="preserve"> seeing a personal psychologist </w:t>
      </w:r>
      <w:r w:rsidR="00A41BE1" w:rsidRPr="00CD4CC8">
        <w:rPr>
          <w:rFonts w:cstheme="minorHAnsi"/>
          <w:sz w:val="22"/>
          <w:szCs w:val="22"/>
        </w:rPr>
        <w:t>regarding</w:t>
      </w:r>
      <w:r w:rsidR="00962C73" w:rsidRPr="00CD4CC8">
        <w:rPr>
          <w:rFonts w:cstheme="minorHAnsi"/>
          <w:sz w:val="22"/>
          <w:szCs w:val="22"/>
        </w:rPr>
        <w:t xml:space="preserve"> controlling </w:t>
      </w:r>
      <w:r w:rsidR="00A41BE1" w:rsidRPr="00CD4CC8">
        <w:rPr>
          <w:rFonts w:cstheme="minorHAnsi"/>
          <w:sz w:val="22"/>
          <w:szCs w:val="22"/>
        </w:rPr>
        <w:t xml:space="preserve">his </w:t>
      </w:r>
      <w:r w:rsidR="00962C73" w:rsidRPr="00CD4CC8">
        <w:rPr>
          <w:rFonts w:cstheme="minorHAnsi"/>
          <w:sz w:val="22"/>
          <w:szCs w:val="22"/>
        </w:rPr>
        <w:t xml:space="preserve">actions </w:t>
      </w:r>
      <w:r w:rsidR="00D82B2B" w:rsidRPr="00CD4CC8">
        <w:rPr>
          <w:rFonts w:cstheme="minorHAnsi"/>
          <w:sz w:val="22"/>
          <w:szCs w:val="22"/>
        </w:rPr>
        <w:t>appropriately</w:t>
      </w:r>
      <w:r w:rsidR="00962C73" w:rsidRPr="00CD4CC8">
        <w:rPr>
          <w:rFonts w:cstheme="minorHAnsi"/>
          <w:sz w:val="22"/>
          <w:szCs w:val="22"/>
        </w:rPr>
        <w:t xml:space="preserve"> and this has helped him deal with situation</w:t>
      </w:r>
      <w:r w:rsidR="00A41BE1" w:rsidRPr="00CD4CC8">
        <w:rPr>
          <w:rFonts w:cstheme="minorHAnsi"/>
          <w:sz w:val="22"/>
          <w:szCs w:val="22"/>
        </w:rPr>
        <w:t>s</w:t>
      </w:r>
      <w:r w:rsidR="00962C73" w:rsidRPr="00CD4CC8">
        <w:rPr>
          <w:rFonts w:cstheme="minorHAnsi"/>
          <w:sz w:val="22"/>
          <w:szCs w:val="22"/>
        </w:rPr>
        <w:t xml:space="preserve"> in a much better manner</w:t>
      </w:r>
      <w:r w:rsidRPr="00CD4CC8">
        <w:rPr>
          <w:rFonts w:cstheme="minorHAnsi"/>
          <w:sz w:val="22"/>
          <w:szCs w:val="22"/>
        </w:rPr>
        <w:t xml:space="preserve">; </w:t>
      </w:r>
    </w:p>
    <w:p w:rsidR="00CD4CC8" w:rsidRPr="00CD4CC8" w:rsidRDefault="00CD4CC8" w:rsidP="00CD5481">
      <w:pPr>
        <w:jc w:val="both"/>
        <w:rPr>
          <w:rFonts w:cstheme="minorHAnsi"/>
          <w:sz w:val="22"/>
          <w:szCs w:val="22"/>
        </w:rPr>
      </w:pPr>
    </w:p>
    <w:p w:rsidR="00F342D3" w:rsidRDefault="00071AB9" w:rsidP="00684391">
      <w:pPr>
        <w:pStyle w:val="ListParagraph"/>
        <w:numPr>
          <w:ilvl w:val="0"/>
          <w:numId w:val="16"/>
        </w:numPr>
        <w:jc w:val="both"/>
        <w:rPr>
          <w:rFonts w:cstheme="minorHAnsi"/>
          <w:sz w:val="22"/>
          <w:szCs w:val="22"/>
        </w:rPr>
      </w:pPr>
      <w:r w:rsidRPr="00CD4CC8">
        <w:rPr>
          <w:rFonts w:cstheme="minorHAnsi"/>
          <w:sz w:val="22"/>
          <w:szCs w:val="22"/>
        </w:rPr>
        <w:t>t</w:t>
      </w:r>
      <w:r w:rsidR="00962C73" w:rsidRPr="00CD4CC8">
        <w:rPr>
          <w:rFonts w:cstheme="minorHAnsi"/>
          <w:sz w:val="22"/>
          <w:szCs w:val="22"/>
        </w:rPr>
        <w:t>he Applicant apologises for his actions and endeavours to be a better person for himself and others around him.</w:t>
      </w:r>
    </w:p>
    <w:p w:rsidR="00CD4CC8" w:rsidRPr="00CD4CC8" w:rsidRDefault="00CD4CC8" w:rsidP="00CD5481">
      <w:pPr>
        <w:jc w:val="both"/>
        <w:rPr>
          <w:rFonts w:cstheme="minorHAnsi"/>
          <w:sz w:val="22"/>
          <w:szCs w:val="22"/>
        </w:rPr>
      </w:pPr>
    </w:p>
    <w:p w:rsidR="000C4BF6" w:rsidRDefault="000C4BF6" w:rsidP="00CD5481">
      <w:pPr>
        <w:jc w:val="both"/>
        <w:rPr>
          <w:rFonts w:cstheme="minorHAnsi"/>
          <w:b/>
          <w:sz w:val="22"/>
          <w:szCs w:val="22"/>
        </w:rPr>
      </w:pPr>
      <w:r w:rsidRPr="00CD4CC8">
        <w:rPr>
          <w:rFonts w:cstheme="minorHAnsi"/>
          <w:b/>
          <w:sz w:val="22"/>
          <w:szCs w:val="22"/>
        </w:rPr>
        <w:t>Submissions on behalf of the Respondent</w:t>
      </w:r>
    </w:p>
    <w:p w:rsidR="00CD4CC8" w:rsidRPr="00CD4CC8" w:rsidRDefault="00CD4CC8" w:rsidP="00CD5481">
      <w:pPr>
        <w:jc w:val="both"/>
        <w:rPr>
          <w:rFonts w:cstheme="minorHAnsi"/>
          <w:b/>
          <w:sz w:val="22"/>
          <w:szCs w:val="22"/>
        </w:rPr>
      </w:pPr>
    </w:p>
    <w:p w:rsidR="00566BC6" w:rsidRDefault="000C4BF6" w:rsidP="00684391">
      <w:pPr>
        <w:pStyle w:val="ListParagraph"/>
        <w:numPr>
          <w:ilvl w:val="0"/>
          <w:numId w:val="17"/>
        </w:numPr>
        <w:jc w:val="both"/>
        <w:rPr>
          <w:rFonts w:cstheme="minorHAnsi"/>
          <w:sz w:val="22"/>
          <w:szCs w:val="22"/>
        </w:rPr>
      </w:pPr>
      <w:r w:rsidRPr="00CD4CC8">
        <w:rPr>
          <w:rFonts w:cstheme="minorHAnsi"/>
          <w:sz w:val="22"/>
          <w:szCs w:val="22"/>
        </w:rPr>
        <w:t>The Respondent submits</w:t>
      </w:r>
      <w:r w:rsidR="00C57719" w:rsidRPr="00CD4CC8">
        <w:rPr>
          <w:rFonts w:cstheme="minorHAnsi"/>
          <w:sz w:val="22"/>
          <w:szCs w:val="22"/>
        </w:rPr>
        <w:t xml:space="preserve"> that the circumstances of the case warrant the exercise of the Respondent’s discretion to issue a Barring Notice. The decision of the Respondent should not be quashed or varied, and the Barring Notice should be affirmed</w:t>
      </w:r>
      <w:r w:rsidRPr="00CD4CC8">
        <w:rPr>
          <w:rFonts w:cstheme="minorHAnsi"/>
          <w:sz w:val="22"/>
          <w:szCs w:val="22"/>
        </w:rPr>
        <w:t xml:space="preserve">: </w:t>
      </w:r>
    </w:p>
    <w:p w:rsidR="00566BC6" w:rsidRDefault="00566BC6" w:rsidP="00CD5481">
      <w:pPr>
        <w:jc w:val="both"/>
        <w:rPr>
          <w:rFonts w:cstheme="minorHAnsi"/>
          <w:sz w:val="22"/>
          <w:szCs w:val="22"/>
        </w:rPr>
      </w:pPr>
    </w:p>
    <w:p w:rsidR="00566BC6" w:rsidRPr="00CD4CC8" w:rsidRDefault="00566BC6" w:rsidP="00CD5481">
      <w:pPr>
        <w:ind w:firstLine="567"/>
        <w:jc w:val="both"/>
        <w:rPr>
          <w:rFonts w:cstheme="minorHAnsi"/>
          <w:sz w:val="22"/>
          <w:szCs w:val="22"/>
          <w:u w:val="single"/>
        </w:rPr>
      </w:pPr>
      <w:r w:rsidRPr="00CD4CC8">
        <w:rPr>
          <w:rFonts w:cstheme="minorHAnsi"/>
          <w:sz w:val="22"/>
          <w:szCs w:val="22"/>
          <w:u w:val="single"/>
        </w:rPr>
        <w:t>The nature of the incident giving rise to the Barring Notice</w:t>
      </w:r>
    </w:p>
    <w:p w:rsidR="00566BC6" w:rsidRPr="007433B0" w:rsidRDefault="00566BC6" w:rsidP="00CD5481">
      <w:pPr>
        <w:jc w:val="both"/>
        <w:rPr>
          <w:rFonts w:cstheme="minorHAnsi"/>
          <w:sz w:val="22"/>
          <w:szCs w:val="22"/>
        </w:rPr>
      </w:pPr>
    </w:p>
    <w:p w:rsidR="00566BC6" w:rsidRPr="00CD4CC8" w:rsidRDefault="00566BC6" w:rsidP="00684391">
      <w:pPr>
        <w:pStyle w:val="ListParagraph"/>
        <w:numPr>
          <w:ilvl w:val="0"/>
          <w:numId w:val="18"/>
        </w:numPr>
        <w:jc w:val="both"/>
        <w:rPr>
          <w:rFonts w:cstheme="minorHAnsi"/>
          <w:sz w:val="22"/>
          <w:szCs w:val="22"/>
        </w:rPr>
      </w:pPr>
      <w:r w:rsidRPr="00CD4CC8">
        <w:rPr>
          <w:rFonts w:cstheme="minorHAnsi"/>
          <w:sz w:val="22"/>
          <w:szCs w:val="22"/>
        </w:rPr>
        <w:t>In this case, the Incident was aggravated by the following circumstances:</w:t>
      </w:r>
    </w:p>
    <w:p w:rsidR="00566BC6" w:rsidRPr="007433B0" w:rsidRDefault="00566BC6" w:rsidP="00CD5481">
      <w:pPr>
        <w:jc w:val="both"/>
        <w:rPr>
          <w:rFonts w:cstheme="minorHAnsi"/>
          <w:sz w:val="22"/>
          <w:szCs w:val="22"/>
        </w:rPr>
      </w:pPr>
    </w:p>
    <w:p w:rsidR="00566BC6" w:rsidRPr="00CD4CC8" w:rsidRDefault="00566BC6" w:rsidP="00684391">
      <w:pPr>
        <w:pStyle w:val="ListParagraph"/>
        <w:numPr>
          <w:ilvl w:val="0"/>
          <w:numId w:val="19"/>
        </w:numPr>
        <w:ind w:left="1287"/>
        <w:jc w:val="both"/>
        <w:rPr>
          <w:rFonts w:cstheme="minorHAnsi"/>
          <w:sz w:val="22"/>
          <w:szCs w:val="22"/>
        </w:rPr>
      </w:pPr>
      <w:r w:rsidRPr="00CD4CC8">
        <w:rPr>
          <w:rFonts w:cstheme="minorHAnsi"/>
          <w:sz w:val="22"/>
          <w:szCs w:val="22"/>
        </w:rPr>
        <w:t>the conduct giving rise to the Barring Notice was the very type of behaviour which the amendments to the Act were designed to overcome, that being anti-social and disorderly behaviour within the vicinity of licenced premises;</w:t>
      </w:r>
    </w:p>
    <w:p w:rsidR="00566BC6" w:rsidRPr="007433B0" w:rsidRDefault="00566BC6" w:rsidP="00CD5481">
      <w:pPr>
        <w:ind w:left="567"/>
        <w:jc w:val="both"/>
        <w:rPr>
          <w:rFonts w:cstheme="minorHAnsi"/>
          <w:sz w:val="22"/>
          <w:szCs w:val="22"/>
        </w:rPr>
      </w:pPr>
    </w:p>
    <w:p w:rsidR="00566BC6" w:rsidRPr="00CD4CC8" w:rsidRDefault="00566BC6" w:rsidP="00684391">
      <w:pPr>
        <w:pStyle w:val="ListParagraph"/>
        <w:numPr>
          <w:ilvl w:val="0"/>
          <w:numId w:val="19"/>
        </w:numPr>
        <w:ind w:left="1287"/>
        <w:jc w:val="both"/>
        <w:rPr>
          <w:rFonts w:cstheme="minorHAnsi"/>
          <w:sz w:val="22"/>
          <w:szCs w:val="22"/>
        </w:rPr>
      </w:pPr>
      <w:r w:rsidRPr="00CD4CC8">
        <w:rPr>
          <w:rFonts w:cstheme="minorHAnsi"/>
          <w:sz w:val="22"/>
          <w:szCs w:val="22"/>
        </w:rPr>
        <w:t>the Applicant’s conduct disrupted most or all patrons inside the Venue, and continued into Northbridge Piazza, an open and central location, with many people being exposed to the Applicant’s behaviour;</w:t>
      </w:r>
    </w:p>
    <w:p w:rsidR="00566BC6" w:rsidRPr="007433B0" w:rsidRDefault="00566BC6" w:rsidP="00CD5481">
      <w:pPr>
        <w:ind w:left="567"/>
        <w:jc w:val="both"/>
        <w:rPr>
          <w:rFonts w:cstheme="minorHAnsi"/>
          <w:sz w:val="22"/>
          <w:szCs w:val="22"/>
        </w:rPr>
      </w:pPr>
    </w:p>
    <w:p w:rsidR="00566BC6" w:rsidRPr="00CD4CC8" w:rsidRDefault="00566BC6" w:rsidP="00684391">
      <w:pPr>
        <w:pStyle w:val="ListParagraph"/>
        <w:numPr>
          <w:ilvl w:val="0"/>
          <w:numId w:val="19"/>
        </w:numPr>
        <w:ind w:left="1287"/>
        <w:jc w:val="both"/>
        <w:rPr>
          <w:rFonts w:cstheme="minorHAnsi"/>
          <w:sz w:val="22"/>
          <w:szCs w:val="22"/>
        </w:rPr>
      </w:pPr>
      <w:r w:rsidRPr="00CD4CC8">
        <w:rPr>
          <w:rFonts w:cstheme="minorHAnsi"/>
          <w:sz w:val="22"/>
          <w:szCs w:val="22"/>
        </w:rPr>
        <w:t>when actively resisting arrest, the Applicant wiped blood in the mouth of a police officer attempting to detain him; and</w:t>
      </w:r>
    </w:p>
    <w:p w:rsidR="00566BC6" w:rsidRPr="007433B0" w:rsidRDefault="00566BC6" w:rsidP="00CD5481">
      <w:pPr>
        <w:ind w:left="567"/>
        <w:jc w:val="both"/>
        <w:rPr>
          <w:rFonts w:cstheme="minorHAnsi"/>
          <w:sz w:val="22"/>
          <w:szCs w:val="22"/>
        </w:rPr>
      </w:pPr>
    </w:p>
    <w:p w:rsidR="00566BC6" w:rsidRPr="00CD4CC8" w:rsidRDefault="00566BC6" w:rsidP="00684391">
      <w:pPr>
        <w:pStyle w:val="ListParagraph"/>
        <w:numPr>
          <w:ilvl w:val="0"/>
          <w:numId w:val="19"/>
        </w:numPr>
        <w:ind w:left="1287"/>
        <w:jc w:val="both"/>
        <w:rPr>
          <w:rFonts w:cstheme="minorHAnsi"/>
          <w:sz w:val="22"/>
          <w:szCs w:val="22"/>
        </w:rPr>
      </w:pPr>
      <w:r w:rsidRPr="00CD4CC8">
        <w:rPr>
          <w:rFonts w:cstheme="minorHAnsi"/>
          <w:sz w:val="22"/>
          <w:szCs w:val="22"/>
        </w:rPr>
        <w:t>multiple police officers were required to detain the Applicant, prejudicing officers’ ability to police other offending in the area.</w:t>
      </w:r>
    </w:p>
    <w:p w:rsidR="00566BC6" w:rsidRPr="007433B0" w:rsidRDefault="00566BC6" w:rsidP="00CD5481">
      <w:pPr>
        <w:jc w:val="both"/>
        <w:rPr>
          <w:rFonts w:cstheme="minorHAnsi"/>
          <w:sz w:val="22"/>
          <w:szCs w:val="22"/>
        </w:rPr>
      </w:pPr>
    </w:p>
    <w:p w:rsidR="00566BC6" w:rsidRPr="00CD4CC8" w:rsidRDefault="00566BC6" w:rsidP="00CD5481">
      <w:pPr>
        <w:ind w:firstLine="567"/>
        <w:jc w:val="both"/>
        <w:rPr>
          <w:rFonts w:cstheme="minorHAnsi"/>
          <w:sz w:val="22"/>
          <w:szCs w:val="22"/>
          <w:u w:val="single"/>
        </w:rPr>
      </w:pPr>
      <w:r w:rsidRPr="00CD4CC8">
        <w:rPr>
          <w:rFonts w:cstheme="minorHAnsi"/>
          <w:sz w:val="22"/>
          <w:szCs w:val="22"/>
          <w:u w:val="single"/>
        </w:rPr>
        <w:t>The risk of the Applicant behaving in a similar manner</w:t>
      </w:r>
    </w:p>
    <w:p w:rsidR="00566BC6" w:rsidRPr="007433B0" w:rsidRDefault="00566BC6" w:rsidP="00CD5481">
      <w:pPr>
        <w:jc w:val="both"/>
        <w:rPr>
          <w:rFonts w:cstheme="minorHAnsi"/>
          <w:sz w:val="22"/>
          <w:szCs w:val="22"/>
        </w:rPr>
      </w:pPr>
    </w:p>
    <w:p w:rsidR="00566BC6" w:rsidRDefault="00566BC6" w:rsidP="00684391">
      <w:pPr>
        <w:pStyle w:val="ListParagraph"/>
        <w:numPr>
          <w:ilvl w:val="0"/>
          <w:numId w:val="18"/>
        </w:numPr>
        <w:jc w:val="both"/>
        <w:rPr>
          <w:rFonts w:cstheme="minorHAnsi"/>
          <w:sz w:val="22"/>
          <w:szCs w:val="22"/>
        </w:rPr>
      </w:pPr>
      <w:r w:rsidRPr="00CD4CC8">
        <w:rPr>
          <w:rFonts w:cstheme="minorHAnsi"/>
          <w:sz w:val="22"/>
          <w:szCs w:val="22"/>
        </w:rPr>
        <w:t>In his Grounds, the Applicant apologises for his actions and states that they were out of character for him. However, there is insufficient evidence for the Commission to be satisfied that the Applicant will not display similar anti-social and aggressive behaviour in and around licensed premises within the period of the Barring Notice:</w:t>
      </w:r>
    </w:p>
    <w:p w:rsidR="00566BC6" w:rsidRPr="00CD4CC8" w:rsidRDefault="00566BC6" w:rsidP="00CD5481">
      <w:pPr>
        <w:pStyle w:val="ListParagraph"/>
        <w:ind w:left="927"/>
        <w:jc w:val="both"/>
        <w:rPr>
          <w:rFonts w:cstheme="minorHAnsi"/>
          <w:sz w:val="22"/>
          <w:szCs w:val="22"/>
        </w:rPr>
      </w:pPr>
    </w:p>
    <w:p w:rsidR="00566BC6" w:rsidRPr="00CD4CC8" w:rsidRDefault="00566BC6" w:rsidP="00684391">
      <w:pPr>
        <w:pStyle w:val="ListParagraph"/>
        <w:numPr>
          <w:ilvl w:val="0"/>
          <w:numId w:val="20"/>
        </w:numPr>
        <w:ind w:left="1287"/>
        <w:jc w:val="both"/>
        <w:rPr>
          <w:rFonts w:cstheme="minorHAnsi"/>
          <w:sz w:val="22"/>
          <w:szCs w:val="22"/>
        </w:rPr>
      </w:pPr>
      <w:r w:rsidRPr="00CD4CC8">
        <w:rPr>
          <w:rFonts w:cstheme="minorHAnsi"/>
          <w:sz w:val="22"/>
          <w:szCs w:val="22"/>
        </w:rPr>
        <w:t xml:space="preserve">the Applicant has not provided any character references or a reference or other information from a psychologist to support an argument that the Applicant does not pose a risk of repeating his behaviour; </w:t>
      </w:r>
    </w:p>
    <w:p w:rsidR="00566BC6" w:rsidRPr="007433B0" w:rsidRDefault="00566BC6" w:rsidP="00CD5481">
      <w:pPr>
        <w:ind w:left="567"/>
        <w:jc w:val="both"/>
        <w:rPr>
          <w:rFonts w:cstheme="minorHAnsi"/>
          <w:sz w:val="22"/>
          <w:szCs w:val="22"/>
        </w:rPr>
      </w:pPr>
    </w:p>
    <w:p w:rsidR="00566BC6" w:rsidRPr="00CD4CC8" w:rsidRDefault="00566BC6" w:rsidP="00684391">
      <w:pPr>
        <w:pStyle w:val="ListParagraph"/>
        <w:numPr>
          <w:ilvl w:val="0"/>
          <w:numId w:val="20"/>
        </w:numPr>
        <w:ind w:left="1287"/>
        <w:jc w:val="both"/>
        <w:rPr>
          <w:rFonts w:cstheme="minorHAnsi"/>
          <w:sz w:val="22"/>
          <w:szCs w:val="22"/>
        </w:rPr>
      </w:pPr>
      <w:r w:rsidRPr="00CD4CC8">
        <w:rPr>
          <w:rFonts w:cstheme="minorHAnsi"/>
          <w:sz w:val="22"/>
          <w:szCs w:val="22"/>
        </w:rPr>
        <w:t>even if the risk that the Applicant could behave in a similar manner is low, that risk can be further minimised by the terms of the Barring Notice;</w:t>
      </w:r>
    </w:p>
    <w:p w:rsidR="00566BC6" w:rsidRPr="007433B0" w:rsidRDefault="00566BC6" w:rsidP="00CD5481">
      <w:pPr>
        <w:jc w:val="both"/>
        <w:rPr>
          <w:rFonts w:cstheme="minorHAnsi"/>
          <w:sz w:val="22"/>
          <w:szCs w:val="22"/>
        </w:rPr>
      </w:pPr>
    </w:p>
    <w:p w:rsidR="00566BC6" w:rsidRDefault="00566BC6" w:rsidP="00CD5481">
      <w:pPr>
        <w:ind w:firstLine="567"/>
        <w:jc w:val="both"/>
        <w:rPr>
          <w:rFonts w:cstheme="minorHAnsi"/>
          <w:sz w:val="22"/>
          <w:szCs w:val="22"/>
          <w:u w:val="single"/>
        </w:rPr>
      </w:pPr>
      <w:r w:rsidRPr="00CD4CC8">
        <w:rPr>
          <w:rFonts w:cstheme="minorHAnsi"/>
          <w:sz w:val="22"/>
          <w:szCs w:val="22"/>
          <w:u w:val="single"/>
        </w:rPr>
        <w:t>Response to Applicant’s Grounds</w:t>
      </w:r>
    </w:p>
    <w:p w:rsidR="00566BC6" w:rsidRPr="00CD4CC8" w:rsidRDefault="00566BC6" w:rsidP="00CD5481">
      <w:pPr>
        <w:jc w:val="both"/>
        <w:rPr>
          <w:rFonts w:cstheme="minorHAnsi"/>
          <w:sz w:val="22"/>
          <w:szCs w:val="22"/>
          <w:u w:val="single"/>
        </w:rPr>
      </w:pPr>
    </w:p>
    <w:p w:rsidR="00566BC6" w:rsidRPr="00CD4CC8" w:rsidRDefault="00566BC6" w:rsidP="00684391">
      <w:pPr>
        <w:pStyle w:val="ListParagraph"/>
        <w:numPr>
          <w:ilvl w:val="0"/>
          <w:numId w:val="18"/>
        </w:numPr>
        <w:jc w:val="both"/>
        <w:rPr>
          <w:rFonts w:cstheme="minorHAnsi"/>
          <w:sz w:val="22"/>
          <w:szCs w:val="22"/>
        </w:rPr>
      </w:pPr>
      <w:r w:rsidRPr="00CD4CC8">
        <w:rPr>
          <w:rFonts w:cstheme="minorHAnsi"/>
          <w:sz w:val="22"/>
          <w:szCs w:val="22"/>
        </w:rPr>
        <w:t xml:space="preserve">In his Grounds, the Applicant states that he feels he is being unfairly treated because he has already been punished in the Magistrates Court and was granted a spent conviction. </w:t>
      </w:r>
      <w:r w:rsidR="001B3306" w:rsidRPr="00CD4CC8">
        <w:rPr>
          <w:rFonts w:cstheme="minorHAnsi"/>
          <w:sz w:val="22"/>
          <w:szCs w:val="22"/>
        </w:rPr>
        <w:t>However,</w:t>
      </w:r>
      <w:r w:rsidRPr="00CD4CC8">
        <w:rPr>
          <w:rFonts w:cstheme="minorHAnsi"/>
          <w:sz w:val="22"/>
          <w:szCs w:val="22"/>
        </w:rPr>
        <w:t xml:space="preserve"> the Barring Notice is not punitive nor is it restorative or compensatory. Rather, it serves as a measure to protect the public from anti-social behaviour, such as the Applicant’s, in and around licensed premised. The fact the Applicant was granted a spent conviction provides no justification for revoking the Barring Notice.</w:t>
      </w:r>
    </w:p>
    <w:p w:rsidR="00566BC6" w:rsidRDefault="00566BC6" w:rsidP="00CD5481">
      <w:pPr>
        <w:pStyle w:val="ListParagraph"/>
        <w:jc w:val="both"/>
        <w:rPr>
          <w:rFonts w:cstheme="minorHAnsi"/>
          <w:sz w:val="22"/>
          <w:szCs w:val="22"/>
        </w:rPr>
      </w:pPr>
    </w:p>
    <w:p w:rsidR="00C0209D" w:rsidRDefault="00671499" w:rsidP="00684391">
      <w:pPr>
        <w:pStyle w:val="ListParagraph"/>
        <w:numPr>
          <w:ilvl w:val="0"/>
          <w:numId w:val="17"/>
        </w:numPr>
        <w:jc w:val="both"/>
        <w:rPr>
          <w:rFonts w:cstheme="minorHAnsi"/>
          <w:sz w:val="22"/>
          <w:szCs w:val="22"/>
        </w:rPr>
      </w:pPr>
      <w:proofErr w:type="gramStart"/>
      <w:r w:rsidRPr="00566BC6">
        <w:rPr>
          <w:rFonts w:cstheme="minorHAnsi"/>
          <w:sz w:val="22"/>
          <w:szCs w:val="22"/>
        </w:rPr>
        <w:t>I</w:t>
      </w:r>
      <w:r w:rsidR="00C0209D" w:rsidRPr="00566BC6">
        <w:rPr>
          <w:rFonts w:cstheme="minorHAnsi"/>
          <w:sz w:val="22"/>
          <w:szCs w:val="22"/>
        </w:rPr>
        <w:t>n light of</w:t>
      </w:r>
      <w:proofErr w:type="gramEnd"/>
      <w:r w:rsidR="00C0209D" w:rsidRPr="00566BC6">
        <w:rPr>
          <w:rFonts w:cstheme="minorHAnsi"/>
          <w:sz w:val="22"/>
          <w:szCs w:val="22"/>
        </w:rPr>
        <w:t xml:space="preserve"> the Applicant’s conduct, banning the Applicant from licensed premises for a period of around 6 months is reasonable and appropriate in all of the circumstances, in order to provide a level of protection to the community.</w:t>
      </w:r>
      <w:r w:rsidR="00FD34DD">
        <w:rPr>
          <w:rFonts w:cstheme="minorHAnsi"/>
          <w:sz w:val="22"/>
          <w:szCs w:val="22"/>
        </w:rPr>
        <w:t xml:space="preserve"> It will also serve as an opportunity for the Applicant to reflect on his behaviour and the importance of behaving appropriately on licensed premises.</w:t>
      </w:r>
    </w:p>
    <w:p w:rsidR="00566BC6" w:rsidRDefault="00566BC6" w:rsidP="00CD5481">
      <w:pPr>
        <w:pStyle w:val="ListParagraph"/>
        <w:jc w:val="both"/>
        <w:rPr>
          <w:rFonts w:cstheme="minorHAnsi"/>
          <w:sz w:val="22"/>
          <w:szCs w:val="22"/>
        </w:rPr>
      </w:pPr>
    </w:p>
    <w:p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 xml:space="preserve">Counsel for the Respondent makes further comprehensive written submissions regarding the applicable law, which are referred to as necessary </w:t>
      </w:r>
      <w:proofErr w:type="gramStart"/>
      <w:r w:rsidRPr="00566BC6">
        <w:rPr>
          <w:rFonts w:cstheme="minorHAnsi"/>
          <w:sz w:val="22"/>
          <w:szCs w:val="22"/>
        </w:rPr>
        <w:t>during the course of</w:t>
      </w:r>
      <w:proofErr w:type="gramEnd"/>
      <w:r w:rsidRPr="00566BC6">
        <w:rPr>
          <w:rFonts w:cstheme="minorHAnsi"/>
          <w:sz w:val="22"/>
          <w:szCs w:val="22"/>
        </w:rPr>
        <w:t xml:space="preserve"> the determination below.</w:t>
      </w:r>
    </w:p>
    <w:p w:rsidR="00566BC6" w:rsidRPr="00566BC6" w:rsidRDefault="00566BC6" w:rsidP="00CD5481">
      <w:pPr>
        <w:pStyle w:val="ListParagraph"/>
        <w:jc w:val="both"/>
        <w:rPr>
          <w:rFonts w:cstheme="minorHAnsi"/>
          <w:sz w:val="22"/>
          <w:szCs w:val="22"/>
        </w:rPr>
      </w:pPr>
    </w:p>
    <w:p w:rsidR="00566BC6" w:rsidRPr="00566BC6" w:rsidRDefault="00566BC6" w:rsidP="00CD5481">
      <w:pPr>
        <w:jc w:val="both"/>
        <w:rPr>
          <w:rFonts w:cstheme="minorHAnsi"/>
          <w:b/>
          <w:sz w:val="22"/>
          <w:szCs w:val="22"/>
        </w:rPr>
      </w:pPr>
      <w:r w:rsidRPr="00566BC6">
        <w:rPr>
          <w:rFonts w:cstheme="minorHAnsi"/>
          <w:b/>
          <w:sz w:val="22"/>
          <w:szCs w:val="22"/>
        </w:rPr>
        <w:t>Statutory Framework</w:t>
      </w:r>
    </w:p>
    <w:p w:rsidR="00566BC6" w:rsidRPr="00566BC6" w:rsidRDefault="00566BC6" w:rsidP="00CD5481">
      <w:pPr>
        <w:jc w:val="both"/>
        <w:rPr>
          <w:rFonts w:cstheme="minorHAnsi"/>
          <w:sz w:val="22"/>
          <w:szCs w:val="22"/>
        </w:rPr>
      </w:pPr>
    </w:p>
    <w:p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The Commissioner of Police has the power to prohibit people from entering specified licensed premises, or a specified class of licensed premises, for a period of up to twelve months pursuant to section 115AA of the Act if the Commissioner believes on reasonable grounds that the person has, on licensed premises:</w:t>
      </w:r>
    </w:p>
    <w:p w:rsidR="00566BC6" w:rsidRDefault="00566BC6" w:rsidP="00CD5481">
      <w:pPr>
        <w:pStyle w:val="ListParagraph"/>
        <w:jc w:val="both"/>
        <w:rPr>
          <w:rFonts w:cstheme="minorHAnsi"/>
          <w:sz w:val="22"/>
          <w:szCs w:val="22"/>
        </w:rPr>
      </w:pPr>
    </w:p>
    <w:p w:rsidR="00566BC6" w:rsidRDefault="00566BC6" w:rsidP="00684391">
      <w:pPr>
        <w:pStyle w:val="ListParagraph"/>
        <w:numPr>
          <w:ilvl w:val="0"/>
          <w:numId w:val="21"/>
        </w:numPr>
        <w:jc w:val="both"/>
        <w:rPr>
          <w:rFonts w:cstheme="minorHAnsi"/>
          <w:sz w:val="22"/>
          <w:szCs w:val="22"/>
        </w:rPr>
      </w:pPr>
      <w:r w:rsidRPr="00566BC6">
        <w:rPr>
          <w:rFonts w:cstheme="minorHAnsi"/>
          <w:sz w:val="22"/>
          <w:szCs w:val="22"/>
        </w:rPr>
        <w:t>been violent or disorderly;</w:t>
      </w:r>
    </w:p>
    <w:p w:rsidR="00566BC6" w:rsidRPr="00566BC6" w:rsidRDefault="00566BC6" w:rsidP="00CD5481">
      <w:pPr>
        <w:pStyle w:val="ListParagraph"/>
        <w:ind w:left="1080"/>
        <w:jc w:val="both"/>
        <w:rPr>
          <w:rFonts w:cstheme="minorHAnsi"/>
          <w:sz w:val="22"/>
          <w:szCs w:val="22"/>
        </w:rPr>
      </w:pPr>
    </w:p>
    <w:p w:rsidR="00566BC6" w:rsidRDefault="00566BC6" w:rsidP="00684391">
      <w:pPr>
        <w:pStyle w:val="ListParagraph"/>
        <w:numPr>
          <w:ilvl w:val="0"/>
          <w:numId w:val="21"/>
        </w:numPr>
        <w:jc w:val="both"/>
        <w:rPr>
          <w:rFonts w:cstheme="minorHAnsi"/>
          <w:sz w:val="22"/>
          <w:szCs w:val="22"/>
        </w:rPr>
      </w:pPr>
      <w:r w:rsidRPr="00566BC6">
        <w:rPr>
          <w:rFonts w:cstheme="minorHAnsi"/>
          <w:sz w:val="22"/>
          <w:szCs w:val="22"/>
        </w:rPr>
        <w:t>engaged in indecent behaviour; or</w:t>
      </w:r>
    </w:p>
    <w:p w:rsidR="00566BC6" w:rsidRPr="00566BC6" w:rsidRDefault="00566BC6" w:rsidP="00CD5481">
      <w:pPr>
        <w:jc w:val="both"/>
        <w:rPr>
          <w:rFonts w:cstheme="minorHAnsi"/>
          <w:sz w:val="22"/>
          <w:szCs w:val="22"/>
        </w:rPr>
      </w:pPr>
    </w:p>
    <w:p w:rsidR="00566BC6" w:rsidRPr="00566BC6" w:rsidRDefault="00566BC6" w:rsidP="00684391">
      <w:pPr>
        <w:pStyle w:val="ListParagraph"/>
        <w:numPr>
          <w:ilvl w:val="0"/>
          <w:numId w:val="21"/>
        </w:numPr>
        <w:jc w:val="both"/>
        <w:rPr>
          <w:rFonts w:cstheme="minorHAnsi"/>
          <w:sz w:val="22"/>
          <w:szCs w:val="22"/>
        </w:rPr>
      </w:pPr>
      <w:r w:rsidRPr="00566BC6">
        <w:rPr>
          <w:rFonts w:cstheme="minorHAnsi"/>
          <w:sz w:val="22"/>
          <w:szCs w:val="22"/>
        </w:rPr>
        <w:t>contravened a provision of any written law.</w:t>
      </w:r>
    </w:p>
    <w:p w:rsidR="00566BC6" w:rsidRDefault="00566BC6" w:rsidP="00CD5481">
      <w:pPr>
        <w:pStyle w:val="ListParagraph"/>
        <w:jc w:val="both"/>
        <w:rPr>
          <w:rFonts w:cstheme="minorHAnsi"/>
          <w:sz w:val="22"/>
          <w:szCs w:val="22"/>
        </w:rPr>
      </w:pPr>
    </w:p>
    <w:p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The Commissioner may delegate the power conferred by section 115AA of the Act on any member of the police force of or above the rank of Inspector pursuant section 115AB of the Act.</w:t>
      </w:r>
    </w:p>
    <w:p w:rsidR="00566BC6" w:rsidRDefault="00566BC6" w:rsidP="00CD5481">
      <w:pPr>
        <w:pStyle w:val="ListParagraph"/>
        <w:jc w:val="both"/>
        <w:rPr>
          <w:rFonts w:cstheme="minorHAnsi"/>
          <w:sz w:val="22"/>
          <w:szCs w:val="22"/>
        </w:rPr>
      </w:pPr>
    </w:p>
    <w:p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Section 115</w:t>
      </w:r>
      <w:r w:rsidR="001B3306" w:rsidRPr="00566BC6">
        <w:rPr>
          <w:rFonts w:cstheme="minorHAnsi"/>
          <w:sz w:val="22"/>
          <w:szCs w:val="22"/>
        </w:rPr>
        <w:t>AD (</w:t>
      </w:r>
      <w:r w:rsidRPr="00566BC6">
        <w:rPr>
          <w:rFonts w:cstheme="minorHAnsi"/>
          <w:sz w:val="22"/>
          <w:szCs w:val="22"/>
        </w:rPr>
        <w:t xml:space="preserve">3) </w:t>
      </w:r>
      <w:r w:rsidR="00990EA0" w:rsidRPr="00566BC6">
        <w:rPr>
          <w:rFonts w:cstheme="minorHAnsi"/>
          <w:sz w:val="22"/>
          <w:szCs w:val="22"/>
        </w:rPr>
        <w:t xml:space="preserve">of the Act </w:t>
      </w:r>
      <w:r w:rsidRPr="00566BC6">
        <w:rPr>
          <w:rFonts w:cstheme="minorHAnsi"/>
          <w:sz w:val="22"/>
          <w:szCs w:val="22"/>
        </w:rPr>
        <w:t xml:space="preserve">provides that where a person is dissatisfied with the decision of the Commissioner of Police to give the notice, the person may apply to the Commission for a review of the decision. </w:t>
      </w:r>
    </w:p>
    <w:p w:rsidR="00566BC6" w:rsidRPr="00566BC6" w:rsidRDefault="00566BC6" w:rsidP="00CD5481">
      <w:pPr>
        <w:pStyle w:val="ListParagraph"/>
        <w:jc w:val="both"/>
        <w:rPr>
          <w:rFonts w:cstheme="minorHAnsi"/>
          <w:sz w:val="22"/>
          <w:szCs w:val="22"/>
        </w:rPr>
      </w:pPr>
    </w:p>
    <w:p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lastRenderedPageBreak/>
        <w:t>Section 115</w:t>
      </w:r>
      <w:r w:rsidR="001B3306" w:rsidRPr="00566BC6">
        <w:rPr>
          <w:rFonts w:cstheme="minorHAnsi"/>
          <w:sz w:val="22"/>
          <w:szCs w:val="22"/>
        </w:rPr>
        <w:t>AD (</w:t>
      </w:r>
      <w:r w:rsidRPr="00566BC6">
        <w:rPr>
          <w:rFonts w:cstheme="minorHAnsi"/>
          <w:sz w:val="22"/>
          <w:szCs w:val="22"/>
        </w:rPr>
        <w:t xml:space="preserve">6) of the Act provides that when conducting a review of the decision, the Commission may have regard to the material that was before the Commissioner of Police when making the decision as well as any information or document provided by the Applicant. </w:t>
      </w:r>
    </w:p>
    <w:p w:rsidR="00566BC6" w:rsidRPr="00566BC6" w:rsidRDefault="00566BC6" w:rsidP="00CD5481">
      <w:pPr>
        <w:pStyle w:val="ListParagraph"/>
        <w:jc w:val="both"/>
        <w:rPr>
          <w:rFonts w:cstheme="minorHAnsi"/>
          <w:sz w:val="22"/>
          <w:szCs w:val="22"/>
        </w:rPr>
      </w:pPr>
    </w:p>
    <w:p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Section 115</w:t>
      </w:r>
      <w:r w:rsidR="001B3306" w:rsidRPr="00566BC6">
        <w:rPr>
          <w:rFonts w:cstheme="minorHAnsi"/>
          <w:sz w:val="22"/>
          <w:szCs w:val="22"/>
        </w:rPr>
        <w:t>AD (</w:t>
      </w:r>
      <w:r w:rsidRPr="00566BC6">
        <w:rPr>
          <w:rFonts w:cstheme="minorHAnsi"/>
          <w:sz w:val="22"/>
          <w:szCs w:val="22"/>
        </w:rPr>
        <w:t>7) also provides that on a review the Commission may affirm, vary or quash the relevant decision.</w:t>
      </w:r>
    </w:p>
    <w:p w:rsidR="00566BC6" w:rsidRPr="00566BC6" w:rsidRDefault="00566BC6" w:rsidP="00CD5481">
      <w:pPr>
        <w:pStyle w:val="ListParagraph"/>
        <w:jc w:val="both"/>
        <w:rPr>
          <w:rFonts w:cstheme="minorHAnsi"/>
          <w:sz w:val="22"/>
          <w:szCs w:val="22"/>
        </w:rPr>
      </w:pPr>
    </w:p>
    <w:p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Section 16 of the Act prescribes that the Commission:</w:t>
      </w:r>
    </w:p>
    <w:p w:rsidR="00566BC6" w:rsidRPr="00566BC6" w:rsidRDefault="00566BC6" w:rsidP="00CD5481">
      <w:pPr>
        <w:pStyle w:val="ListParagraph"/>
        <w:jc w:val="both"/>
        <w:rPr>
          <w:rFonts w:cstheme="minorHAnsi"/>
          <w:sz w:val="22"/>
          <w:szCs w:val="22"/>
        </w:rPr>
      </w:pPr>
    </w:p>
    <w:p w:rsidR="00566BC6" w:rsidRPr="00566BC6" w:rsidRDefault="00566BC6" w:rsidP="00684391">
      <w:pPr>
        <w:pStyle w:val="ListParagraph"/>
        <w:numPr>
          <w:ilvl w:val="0"/>
          <w:numId w:val="22"/>
        </w:numPr>
        <w:ind w:left="1080"/>
        <w:jc w:val="both"/>
        <w:rPr>
          <w:rFonts w:cstheme="minorHAnsi"/>
          <w:sz w:val="22"/>
          <w:szCs w:val="22"/>
        </w:rPr>
      </w:pPr>
      <w:r w:rsidRPr="00566BC6">
        <w:rPr>
          <w:rFonts w:cstheme="minorHAnsi"/>
          <w:sz w:val="22"/>
          <w:szCs w:val="22"/>
        </w:rPr>
        <w:t>may make its determination on the balance of probabilities [subsection (1)(b)(ii)];</w:t>
      </w:r>
    </w:p>
    <w:p w:rsidR="00566BC6" w:rsidRPr="007433B0" w:rsidRDefault="00566BC6" w:rsidP="00CD5481">
      <w:pPr>
        <w:ind w:left="360"/>
        <w:jc w:val="both"/>
        <w:rPr>
          <w:rFonts w:cstheme="minorHAnsi"/>
          <w:sz w:val="22"/>
          <w:szCs w:val="22"/>
        </w:rPr>
      </w:pPr>
    </w:p>
    <w:p w:rsidR="00566BC6" w:rsidRPr="00566BC6" w:rsidRDefault="00566BC6" w:rsidP="00684391">
      <w:pPr>
        <w:pStyle w:val="ListParagraph"/>
        <w:numPr>
          <w:ilvl w:val="0"/>
          <w:numId w:val="22"/>
        </w:numPr>
        <w:ind w:left="1080"/>
        <w:jc w:val="both"/>
        <w:rPr>
          <w:rFonts w:cstheme="minorHAnsi"/>
          <w:sz w:val="22"/>
          <w:szCs w:val="22"/>
        </w:rPr>
      </w:pPr>
      <w:r w:rsidRPr="00566BC6">
        <w:rPr>
          <w:rFonts w:cstheme="minorHAnsi"/>
          <w:sz w:val="22"/>
          <w:szCs w:val="22"/>
        </w:rPr>
        <w:t>is not bound by the rules of evidence or any practices or procedures applicable to courts of record, except to the extent that the licensing authority adopts those rules, practices or procedures or the regulations make them apply [subsection 7(a)]; and</w:t>
      </w:r>
    </w:p>
    <w:p w:rsidR="00566BC6" w:rsidRPr="007433B0" w:rsidRDefault="00566BC6" w:rsidP="00CD5481">
      <w:pPr>
        <w:ind w:left="360"/>
        <w:jc w:val="both"/>
        <w:rPr>
          <w:rFonts w:cstheme="minorHAnsi"/>
          <w:sz w:val="22"/>
          <w:szCs w:val="22"/>
        </w:rPr>
      </w:pPr>
    </w:p>
    <w:p w:rsidR="00566BC6" w:rsidRPr="00566BC6" w:rsidRDefault="00566BC6" w:rsidP="00684391">
      <w:pPr>
        <w:pStyle w:val="ListParagraph"/>
        <w:numPr>
          <w:ilvl w:val="0"/>
          <w:numId w:val="22"/>
        </w:numPr>
        <w:ind w:left="1080"/>
        <w:jc w:val="both"/>
        <w:rPr>
          <w:rFonts w:cstheme="minorHAnsi"/>
          <w:sz w:val="22"/>
          <w:szCs w:val="22"/>
        </w:rPr>
      </w:pPr>
      <w:r w:rsidRPr="00566BC6">
        <w:rPr>
          <w:rFonts w:cstheme="minorHAnsi"/>
          <w:sz w:val="22"/>
          <w:szCs w:val="22"/>
        </w:rPr>
        <w:t>is to act according to equity, good conscience and the substantial merits of the case without regard to technicalities and legal forms [subsection (7)(b)].</w:t>
      </w:r>
    </w:p>
    <w:p w:rsidR="00566BC6" w:rsidRPr="00566BC6" w:rsidRDefault="00566BC6" w:rsidP="00CD5481">
      <w:pPr>
        <w:pStyle w:val="ListParagraph"/>
        <w:jc w:val="both"/>
        <w:rPr>
          <w:rFonts w:cstheme="minorHAnsi"/>
          <w:sz w:val="22"/>
          <w:szCs w:val="22"/>
        </w:rPr>
      </w:pPr>
    </w:p>
    <w:p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In 2010, the Act was amended “</w:t>
      </w:r>
      <w:r w:rsidRPr="00FD34DD">
        <w:rPr>
          <w:rFonts w:cstheme="minorHAnsi"/>
          <w:i/>
          <w:sz w:val="22"/>
          <w:szCs w:val="22"/>
        </w:rPr>
        <w:t xml:space="preserve">to give protection to the </w:t>
      </w:r>
      <w:proofErr w:type="gramStart"/>
      <w:r w:rsidRPr="00FD34DD">
        <w:rPr>
          <w:rFonts w:cstheme="minorHAnsi"/>
          <w:i/>
          <w:sz w:val="22"/>
          <w:szCs w:val="22"/>
        </w:rPr>
        <w:t>general public</w:t>
      </w:r>
      <w:proofErr w:type="gramEnd"/>
      <w:r w:rsidRPr="00FD34DD">
        <w:rPr>
          <w:rFonts w:cstheme="minorHAnsi"/>
          <w:i/>
          <w:sz w:val="22"/>
          <w:szCs w:val="22"/>
        </w:rPr>
        <w:t xml:space="preserve"> from people who have engaged in disorderly or offensive behaviour, who threaten people and who put people in dangerous situations</w:t>
      </w:r>
      <w:r w:rsidRPr="00566BC6">
        <w:rPr>
          <w:rFonts w:cstheme="minorHAnsi"/>
          <w:sz w:val="22"/>
          <w:szCs w:val="22"/>
        </w:rPr>
        <w:t>” (Minister’s statement to the House, Western Australia, Parliamentary Debates, Legislative Assembly 19 October 2010, 7925).</w:t>
      </w:r>
    </w:p>
    <w:p w:rsidR="00566BC6" w:rsidRDefault="00566BC6" w:rsidP="00CD5481">
      <w:pPr>
        <w:pStyle w:val="ListParagraph"/>
        <w:jc w:val="both"/>
        <w:rPr>
          <w:rFonts w:cstheme="minorHAnsi"/>
          <w:sz w:val="22"/>
          <w:szCs w:val="22"/>
        </w:rPr>
      </w:pPr>
    </w:p>
    <w:p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 xml:space="preserve">The Minister further stated that the legislation gave the Police the power to issue Barring Notices to persons engaging in antisocial behaviour at licensed premises. </w:t>
      </w:r>
    </w:p>
    <w:p w:rsidR="00566BC6" w:rsidRPr="00566BC6" w:rsidRDefault="00566BC6" w:rsidP="00CD5481">
      <w:pPr>
        <w:pStyle w:val="ListParagraph"/>
        <w:jc w:val="both"/>
        <w:rPr>
          <w:rFonts w:cstheme="minorHAnsi"/>
          <w:sz w:val="22"/>
          <w:szCs w:val="22"/>
        </w:rPr>
      </w:pPr>
    </w:p>
    <w:p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Section 5 of the Act sets out the objects of the Act. In subsection 5(1)(b) one of the primary objects of the Act is to minimi</w:t>
      </w:r>
      <w:r w:rsidR="002E1AF5" w:rsidRPr="00566BC6">
        <w:rPr>
          <w:rFonts w:cstheme="minorHAnsi"/>
          <w:sz w:val="22"/>
          <w:szCs w:val="22"/>
        </w:rPr>
        <w:t>s</w:t>
      </w:r>
      <w:r w:rsidRPr="00566BC6">
        <w:rPr>
          <w:rFonts w:cstheme="minorHAnsi"/>
          <w:sz w:val="22"/>
          <w:szCs w:val="22"/>
        </w:rPr>
        <w:t xml:space="preserve">e harm or ill health caused to people, or any group of people, due to the use of liquor. Section 5(2) provides for various secondary objects including to provide adequate controls over, and over the persons directly or indirectly involved in, the sale, disposal and consumption of liquor. </w:t>
      </w:r>
    </w:p>
    <w:p w:rsidR="00566BC6" w:rsidRPr="00566BC6" w:rsidRDefault="00566BC6" w:rsidP="00CD5481">
      <w:pPr>
        <w:pStyle w:val="ListParagraph"/>
        <w:jc w:val="both"/>
        <w:rPr>
          <w:rFonts w:cstheme="minorHAnsi"/>
          <w:sz w:val="22"/>
          <w:szCs w:val="22"/>
        </w:rPr>
      </w:pPr>
    </w:p>
    <w:p w:rsidR="000C4BF6" w:rsidRDefault="000C4BF6" w:rsidP="00684391">
      <w:pPr>
        <w:pStyle w:val="ListParagraph"/>
        <w:numPr>
          <w:ilvl w:val="0"/>
          <w:numId w:val="17"/>
        </w:numPr>
        <w:jc w:val="both"/>
        <w:rPr>
          <w:rFonts w:cstheme="minorHAnsi"/>
          <w:sz w:val="22"/>
          <w:szCs w:val="22"/>
        </w:rPr>
      </w:pPr>
      <w:proofErr w:type="gramStart"/>
      <w:r w:rsidRPr="00566BC6">
        <w:rPr>
          <w:rFonts w:cstheme="minorHAnsi"/>
          <w:sz w:val="22"/>
          <w:szCs w:val="22"/>
        </w:rPr>
        <w:t>In light of</w:t>
      </w:r>
      <w:proofErr w:type="gramEnd"/>
      <w:r w:rsidRPr="00566BC6">
        <w:rPr>
          <w:rFonts w:cstheme="minorHAnsi"/>
          <w:sz w:val="22"/>
          <w:szCs w:val="22"/>
        </w:rPr>
        <w:t xml:space="preserve"> the primary and secondary objects of the Act, the effect of a barring notice on a recipient, whilst it may have a detrimental effect on the recipient, is not meant to be seen as a punishment imposed upon them but is to be seen as a protective mechanism (</w:t>
      </w:r>
      <w:r w:rsidR="001B3306" w:rsidRPr="001B3306">
        <w:rPr>
          <w:rFonts w:cstheme="minorHAnsi"/>
          <w:i/>
          <w:sz w:val="22"/>
          <w:szCs w:val="22"/>
        </w:rPr>
        <w:t>Shane</w:t>
      </w:r>
      <w:r w:rsidR="001B3306">
        <w:rPr>
          <w:rFonts w:cstheme="minorHAnsi"/>
          <w:sz w:val="22"/>
          <w:szCs w:val="22"/>
        </w:rPr>
        <w:t xml:space="preserve"> </w:t>
      </w:r>
      <w:r w:rsidRPr="00FD34DD">
        <w:rPr>
          <w:rFonts w:cstheme="minorHAnsi"/>
          <w:i/>
          <w:sz w:val="22"/>
          <w:szCs w:val="22"/>
        </w:rPr>
        <w:t xml:space="preserve">Van </w:t>
      </w:r>
      <w:proofErr w:type="spellStart"/>
      <w:r w:rsidRPr="00FD34DD">
        <w:rPr>
          <w:rFonts w:cstheme="minorHAnsi"/>
          <w:i/>
          <w:sz w:val="22"/>
          <w:szCs w:val="22"/>
        </w:rPr>
        <w:t>Styn</w:t>
      </w:r>
      <w:proofErr w:type="spellEnd"/>
      <w:r w:rsidRPr="00FD34DD">
        <w:rPr>
          <w:rFonts w:cstheme="minorHAnsi"/>
          <w:i/>
          <w:sz w:val="22"/>
          <w:szCs w:val="22"/>
        </w:rPr>
        <w:t xml:space="preserve"> v Commissioner of Police (LC19/2011)</w:t>
      </w:r>
      <w:r w:rsidRPr="00566BC6">
        <w:rPr>
          <w:rFonts w:cstheme="minorHAnsi"/>
          <w:sz w:val="22"/>
          <w:szCs w:val="22"/>
        </w:rPr>
        <w:t>).</w:t>
      </w:r>
    </w:p>
    <w:p w:rsidR="00566BC6" w:rsidRPr="00566BC6" w:rsidRDefault="00566BC6" w:rsidP="00CD5481">
      <w:pPr>
        <w:pStyle w:val="ListParagraph"/>
        <w:jc w:val="both"/>
        <w:rPr>
          <w:rFonts w:cstheme="minorHAnsi"/>
          <w:sz w:val="22"/>
          <w:szCs w:val="22"/>
        </w:rPr>
      </w:pPr>
    </w:p>
    <w:p w:rsidR="00566BC6" w:rsidRPr="00566BC6" w:rsidRDefault="00566BC6" w:rsidP="00CD5481">
      <w:pPr>
        <w:jc w:val="both"/>
        <w:rPr>
          <w:rFonts w:cstheme="minorHAnsi"/>
          <w:b/>
          <w:sz w:val="22"/>
          <w:szCs w:val="22"/>
        </w:rPr>
      </w:pPr>
      <w:r w:rsidRPr="00566BC6">
        <w:rPr>
          <w:rFonts w:cstheme="minorHAnsi"/>
          <w:b/>
          <w:sz w:val="22"/>
          <w:szCs w:val="22"/>
        </w:rPr>
        <w:t>Determination</w:t>
      </w:r>
    </w:p>
    <w:p w:rsidR="00566BC6" w:rsidRPr="00566BC6" w:rsidRDefault="00566BC6" w:rsidP="00CD5481">
      <w:pPr>
        <w:pStyle w:val="ListParagraph"/>
        <w:jc w:val="both"/>
        <w:rPr>
          <w:rFonts w:cstheme="minorHAnsi"/>
          <w:sz w:val="22"/>
          <w:szCs w:val="22"/>
        </w:rPr>
      </w:pPr>
    </w:p>
    <w:p w:rsidR="00B42151" w:rsidRDefault="00B42151" w:rsidP="00684391">
      <w:pPr>
        <w:pStyle w:val="ListParagraph"/>
        <w:numPr>
          <w:ilvl w:val="0"/>
          <w:numId w:val="17"/>
        </w:numPr>
        <w:jc w:val="both"/>
        <w:rPr>
          <w:rFonts w:cstheme="minorHAnsi"/>
          <w:sz w:val="22"/>
          <w:szCs w:val="22"/>
        </w:rPr>
      </w:pPr>
      <w:r w:rsidRPr="00566BC6">
        <w:rPr>
          <w:rFonts w:cstheme="minorHAnsi"/>
          <w:sz w:val="22"/>
          <w:szCs w:val="22"/>
        </w:rPr>
        <w:t xml:space="preserve">The Commission, in considering an application pursuant to section 115AD, is to review the decision and determine whether to affirm, vary or quash a decision. </w:t>
      </w:r>
    </w:p>
    <w:p w:rsidR="00566BC6" w:rsidRDefault="00566BC6" w:rsidP="00CD5481">
      <w:pPr>
        <w:pStyle w:val="ListParagraph"/>
        <w:jc w:val="both"/>
        <w:rPr>
          <w:rFonts w:cstheme="minorHAnsi"/>
          <w:sz w:val="22"/>
          <w:szCs w:val="22"/>
        </w:rPr>
      </w:pPr>
    </w:p>
    <w:p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 xml:space="preserve">The questions to be determined on </w:t>
      </w:r>
      <w:r w:rsidR="00B42151" w:rsidRPr="00566BC6">
        <w:rPr>
          <w:rFonts w:cstheme="minorHAnsi"/>
          <w:sz w:val="22"/>
          <w:szCs w:val="22"/>
        </w:rPr>
        <w:t>a</w:t>
      </w:r>
      <w:r w:rsidRPr="00566BC6">
        <w:rPr>
          <w:rFonts w:cstheme="minorHAnsi"/>
          <w:sz w:val="22"/>
          <w:szCs w:val="22"/>
        </w:rPr>
        <w:t xml:space="preserve"> review </w:t>
      </w:r>
      <w:r w:rsidR="00100D51" w:rsidRPr="00566BC6">
        <w:rPr>
          <w:rFonts w:cstheme="minorHAnsi"/>
          <w:sz w:val="22"/>
          <w:szCs w:val="22"/>
        </w:rPr>
        <w:t xml:space="preserve">therefore </w:t>
      </w:r>
      <w:r w:rsidRPr="00566BC6">
        <w:rPr>
          <w:rFonts w:cstheme="minorHAnsi"/>
          <w:sz w:val="22"/>
          <w:szCs w:val="22"/>
        </w:rPr>
        <w:t>are whether:</w:t>
      </w:r>
    </w:p>
    <w:p w:rsidR="00566BC6" w:rsidRPr="00566BC6" w:rsidRDefault="00566BC6" w:rsidP="00CD5481">
      <w:pPr>
        <w:pStyle w:val="ListParagraph"/>
        <w:ind w:left="1134"/>
        <w:jc w:val="both"/>
        <w:rPr>
          <w:rFonts w:cstheme="minorHAnsi"/>
          <w:sz w:val="22"/>
          <w:szCs w:val="22"/>
        </w:rPr>
      </w:pPr>
    </w:p>
    <w:p w:rsidR="00566BC6" w:rsidRPr="00566BC6" w:rsidRDefault="00566BC6" w:rsidP="00684391">
      <w:pPr>
        <w:pStyle w:val="ListParagraph"/>
        <w:numPr>
          <w:ilvl w:val="0"/>
          <w:numId w:val="23"/>
        </w:numPr>
        <w:ind w:left="1134"/>
        <w:jc w:val="both"/>
        <w:rPr>
          <w:rFonts w:cstheme="minorHAnsi"/>
          <w:sz w:val="22"/>
          <w:szCs w:val="22"/>
        </w:rPr>
      </w:pPr>
      <w:r w:rsidRPr="00566BC6">
        <w:rPr>
          <w:rFonts w:cstheme="minorHAnsi"/>
          <w:sz w:val="22"/>
          <w:szCs w:val="22"/>
        </w:rPr>
        <w:t>there are reasonable grounds for believing that the barred person has, on licensed premises, been violent or disorderly; engaged in indecent behaviour; or contravened a provision of a written law; and</w:t>
      </w:r>
    </w:p>
    <w:p w:rsidR="00566BC6" w:rsidRPr="007433B0" w:rsidRDefault="00566BC6" w:rsidP="00CD5481">
      <w:pPr>
        <w:ind w:left="414"/>
        <w:jc w:val="both"/>
        <w:rPr>
          <w:rFonts w:cstheme="minorHAnsi"/>
          <w:sz w:val="22"/>
          <w:szCs w:val="22"/>
        </w:rPr>
      </w:pPr>
    </w:p>
    <w:p w:rsidR="00566BC6" w:rsidRPr="00566BC6" w:rsidRDefault="00566BC6" w:rsidP="00684391">
      <w:pPr>
        <w:pStyle w:val="ListParagraph"/>
        <w:numPr>
          <w:ilvl w:val="0"/>
          <w:numId w:val="23"/>
        </w:numPr>
        <w:ind w:left="1134"/>
        <w:jc w:val="both"/>
        <w:rPr>
          <w:rFonts w:cstheme="minorHAnsi"/>
          <w:sz w:val="22"/>
          <w:szCs w:val="22"/>
        </w:rPr>
      </w:pPr>
      <w:r w:rsidRPr="00566BC6">
        <w:rPr>
          <w:rFonts w:cstheme="minorHAnsi"/>
          <w:sz w:val="22"/>
          <w:szCs w:val="22"/>
        </w:rPr>
        <w:lastRenderedPageBreak/>
        <w:t xml:space="preserve">the period and terms of the barring notice reflect the objects and purpose of the Act and are not punitive in nature. </w:t>
      </w:r>
    </w:p>
    <w:p w:rsidR="00566BC6" w:rsidRPr="00566BC6" w:rsidRDefault="00566BC6" w:rsidP="00CD5481">
      <w:pPr>
        <w:pStyle w:val="ListParagraph"/>
        <w:jc w:val="both"/>
        <w:rPr>
          <w:rFonts w:cstheme="minorHAnsi"/>
          <w:sz w:val="22"/>
          <w:szCs w:val="22"/>
        </w:rPr>
      </w:pPr>
    </w:p>
    <w:p w:rsidR="000C4BF6" w:rsidRDefault="006E4A6D" w:rsidP="00684391">
      <w:pPr>
        <w:pStyle w:val="ListParagraph"/>
        <w:numPr>
          <w:ilvl w:val="0"/>
          <w:numId w:val="17"/>
        </w:numPr>
        <w:jc w:val="both"/>
        <w:rPr>
          <w:rFonts w:cstheme="minorHAnsi"/>
          <w:sz w:val="22"/>
          <w:szCs w:val="22"/>
        </w:rPr>
      </w:pPr>
      <w:r w:rsidRPr="00566BC6">
        <w:rPr>
          <w:rFonts w:cstheme="minorHAnsi"/>
          <w:sz w:val="22"/>
          <w:szCs w:val="22"/>
        </w:rPr>
        <w:t xml:space="preserve">The Applicant does not dispute that the Incident occurred </w:t>
      </w:r>
      <w:r w:rsidR="00100D51" w:rsidRPr="00566BC6">
        <w:rPr>
          <w:rFonts w:cstheme="minorHAnsi"/>
          <w:sz w:val="22"/>
          <w:szCs w:val="22"/>
        </w:rPr>
        <w:t>and that he engaged in the conduct as alleged.</w:t>
      </w:r>
      <w:r w:rsidRPr="00566BC6">
        <w:rPr>
          <w:rFonts w:cstheme="minorHAnsi"/>
          <w:sz w:val="22"/>
          <w:szCs w:val="22"/>
        </w:rPr>
        <w:t xml:space="preserve"> </w:t>
      </w:r>
      <w:r w:rsidR="00193B6E" w:rsidRPr="00566BC6">
        <w:rPr>
          <w:rFonts w:cstheme="minorHAnsi"/>
          <w:sz w:val="22"/>
          <w:szCs w:val="22"/>
        </w:rPr>
        <w:t xml:space="preserve">I am satisfied that there was a </w:t>
      </w:r>
      <w:r w:rsidR="00A90918" w:rsidRPr="00566BC6">
        <w:rPr>
          <w:rFonts w:cstheme="minorHAnsi"/>
          <w:sz w:val="22"/>
          <w:szCs w:val="22"/>
        </w:rPr>
        <w:t xml:space="preserve">clear and </w:t>
      </w:r>
      <w:r w:rsidR="00193B6E" w:rsidRPr="00566BC6">
        <w:rPr>
          <w:rFonts w:cstheme="minorHAnsi"/>
          <w:sz w:val="22"/>
          <w:szCs w:val="22"/>
        </w:rPr>
        <w:t xml:space="preserve">proper basis for the </w:t>
      </w:r>
      <w:r w:rsidR="005029F3" w:rsidRPr="00566BC6">
        <w:rPr>
          <w:rFonts w:cstheme="minorHAnsi"/>
          <w:sz w:val="22"/>
          <w:szCs w:val="22"/>
        </w:rPr>
        <w:t xml:space="preserve">delegate of the Commissioner </w:t>
      </w:r>
      <w:r w:rsidR="00193B6E" w:rsidRPr="00566BC6">
        <w:rPr>
          <w:rFonts w:cstheme="minorHAnsi"/>
          <w:sz w:val="22"/>
          <w:szCs w:val="22"/>
        </w:rPr>
        <w:t xml:space="preserve">to exercise the power conferred by section 115AA of the Act and that there were reasonable grounds to conclude that the Applicant </w:t>
      </w:r>
      <w:r w:rsidR="000523BF" w:rsidRPr="00566BC6">
        <w:rPr>
          <w:rFonts w:cstheme="minorHAnsi"/>
          <w:sz w:val="22"/>
          <w:szCs w:val="22"/>
        </w:rPr>
        <w:t xml:space="preserve">was violent or disorderly on and </w:t>
      </w:r>
      <w:proofErr w:type="gramStart"/>
      <w:r w:rsidR="000523BF" w:rsidRPr="00566BC6">
        <w:rPr>
          <w:rFonts w:cstheme="minorHAnsi"/>
          <w:sz w:val="22"/>
          <w:szCs w:val="22"/>
        </w:rPr>
        <w:t>in the vicinity of</w:t>
      </w:r>
      <w:proofErr w:type="gramEnd"/>
      <w:r w:rsidR="000523BF" w:rsidRPr="00566BC6">
        <w:rPr>
          <w:rFonts w:cstheme="minorHAnsi"/>
          <w:sz w:val="22"/>
          <w:szCs w:val="22"/>
        </w:rPr>
        <w:t xml:space="preserve"> licensed premises and </w:t>
      </w:r>
      <w:r w:rsidR="005029F3" w:rsidRPr="00566BC6">
        <w:rPr>
          <w:rFonts w:cstheme="minorHAnsi"/>
          <w:sz w:val="22"/>
          <w:szCs w:val="22"/>
        </w:rPr>
        <w:t>contravene</w:t>
      </w:r>
      <w:r w:rsidR="000523BF" w:rsidRPr="00566BC6">
        <w:rPr>
          <w:rFonts w:cstheme="minorHAnsi"/>
          <w:sz w:val="22"/>
          <w:szCs w:val="22"/>
        </w:rPr>
        <w:t>d a provision of written law</w:t>
      </w:r>
      <w:r w:rsidR="005029F3" w:rsidRPr="00566BC6">
        <w:rPr>
          <w:rFonts w:cstheme="minorHAnsi"/>
          <w:sz w:val="22"/>
          <w:szCs w:val="22"/>
        </w:rPr>
        <w:t xml:space="preserve">. </w:t>
      </w:r>
    </w:p>
    <w:p w:rsidR="00566BC6" w:rsidRDefault="00566BC6" w:rsidP="00CD5481">
      <w:pPr>
        <w:pStyle w:val="ListParagraph"/>
        <w:jc w:val="both"/>
        <w:rPr>
          <w:rFonts w:cstheme="minorHAnsi"/>
          <w:sz w:val="22"/>
          <w:szCs w:val="22"/>
        </w:rPr>
      </w:pPr>
    </w:p>
    <w:p w:rsidR="000C4BF6" w:rsidRDefault="000C4BF6" w:rsidP="00684391">
      <w:pPr>
        <w:pStyle w:val="ListParagraph"/>
        <w:numPr>
          <w:ilvl w:val="0"/>
          <w:numId w:val="17"/>
        </w:numPr>
        <w:jc w:val="both"/>
        <w:rPr>
          <w:rFonts w:cstheme="minorHAnsi"/>
          <w:sz w:val="22"/>
          <w:szCs w:val="22"/>
        </w:rPr>
      </w:pPr>
      <w:r w:rsidRPr="00566BC6">
        <w:rPr>
          <w:rFonts w:cstheme="minorHAnsi"/>
          <w:sz w:val="22"/>
          <w:szCs w:val="22"/>
        </w:rPr>
        <w:t xml:space="preserve">Therefore, it is for the Commission to determine, in the relevant circumstances, whether the length and terms of the Barring Notice are sufficient to uphold the objects of the Act and are not punitive in nature. The public interest must be balanced against the impact of the Barring Notice on the Applicant. </w:t>
      </w:r>
    </w:p>
    <w:p w:rsidR="00566BC6" w:rsidRPr="00566BC6" w:rsidRDefault="00566BC6" w:rsidP="00CD5481">
      <w:pPr>
        <w:pStyle w:val="ListParagraph"/>
        <w:jc w:val="both"/>
        <w:rPr>
          <w:rFonts w:cstheme="minorHAnsi"/>
          <w:sz w:val="22"/>
          <w:szCs w:val="22"/>
        </w:rPr>
      </w:pPr>
    </w:p>
    <w:p w:rsidR="000C4BF6" w:rsidRDefault="00395A93" w:rsidP="00684391">
      <w:pPr>
        <w:pStyle w:val="ListParagraph"/>
        <w:numPr>
          <w:ilvl w:val="0"/>
          <w:numId w:val="17"/>
        </w:numPr>
        <w:jc w:val="both"/>
        <w:rPr>
          <w:rFonts w:cstheme="minorHAnsi"/>
          <w:sz w:val="22"/>
          <w:szCs w:val="22"/>
        </w:rPr>
      </w:pPr>
      <w:r w:rsidRPr="00566BC6">
        <w:rPr>
          <w:rFonts w:cstheme="minorHAnsi"/>
          <w:sz w:val="22"/>
          <w:szCs w:val="22"/>
        </w:rPr>
        <w:t xml:space="preserve">In determining whether to quash </w:t>
      </w:r>
      <w:r w:rsidR="00FD34DD">
        <w:rPr>
          <w:rFonts w:cstheme="minorHAnsi"/>
          <w:sz w:val="22"/>
          <w:szCs w:val="22"/>
        </w:rPr>
        <w:t>or vary the Barring N</w:t>
      </w:r>
      <w:r w:rsidRPr="00566BC6">
        <w:rPr>
          <w:rFonts w:cstheme="minorHAnsi"/>
          <w:sz w:val="22"/>
          <w:szCs w:val="22"/>
        </w:rPr>
        <w:t>otice, i</w:t>
      </w:r>
      <w:r w:rsidR="00D82B2B" w:rsidRPr="00566BC6">
        <w:rPr>
          <w:rFonts w:cstheme="minorHAnsi"/>
          <w:sz w:val="22"/>
          <w:szCs w:val="22"/>
        </w:rPr>
        <w:t>t</w:t>
      </w:r>
      <w:r w:rsidR="000C4BF6" w:rsidRPr="00566BC6">
        <w:rPr>
          <w:rFonts w:cstheme="minorHAnsi"/>
          <w:sz w:val="22"/>
          <w:szCs w:val="22"/>
        </w:rPr>
        <w:t xml:space="preserve"> is relevant to take into account the nature and circumstances of the incident gi</w:t>
      </w:r>
      <w:r w:rsidR="00FE13B2" w:rsidRPr="00566BC6">
        <w:rPr>
          <w:rFonts w:cstheme="minorHAnsi"/>
          <w:sz w:val="22"/>
          <w:szCs w:val="22"/>
        </w:rPr>
        <w:t>ving rise to the barring notice;</w:t>
      </w:r>
      <w:r w:rsidR="000C4BF6" w:rsidRPr="00566BC6">
        <w:rPr>
          <w:rFonts w:cstheme="minorHAnsi"/>
          <w:sz w:val="22"/>
          <w:szCs w:val="22"/>
        </w:rPr>
        <w:t xml:space="preserve"> the risk of the Applicant behaving in a similar manner again; and the need to protect the general public, the licensee and the Applicant </w:t>
      </w:r>
      <w:r w:rsidR="007C0342" w:rsidRPr="00566BC6">
        <w:rPr>
          <w:rFonts w:cstheme="minorHAnsi"/>
          <w:sz w:val="22"/>
          <w:szCs w:val="22"/>
        </w:rPr>
        <w:t>himself</w:t>
      </w:r>
      <w:r w:rsidR="000C4BF6" w:rsidRPr="00566BC6">
        <w:rPr>
          <w:rFonts w:cstheme="minorHAnsi"/>
          <w:sz w:val="22"/>
          <w:szCs w:val="22"/>
        </w:rPr>
        <w:t xml:space="preserve">: </w:t>
      </w:r>
      <w:r w:rsidR="000C4BF6" w:rsidRPr="00FD34DD">
        <w:rPr>
          <w:rFonts w:cstheme="minorHAnsi"/>
          <w:i/>
          <w:sz w:val="22"/>
          <w:szCs w:val="22"/>
        </w:rPr>
        <w:t>Batty v Commissioner of Police (LC 33/2011);</w:t>
      </w:r>
      <w:r w:rsidR="000C4BF6" w:rsidRPr="00566BC6">
        <w:rPr>
          <w:rFonts w:cstheme="minorHAnsi"/>
          <w:sz w:val="22"/>
          <w:szCs w:val="22"/>
        </w:rPr>
        <w:t xml:space="preserve"> </w:t>
      </w:r>
      <w:proofErr w:type="spellStart"/>
      <w:r w:rsidR="000C4BF6" w:rsidRPr="00FD34DD">
        <w:rPr>
          <w:rFonts w:cstheme="minorHAnsi"/>
          <w:i/>
          <w:sz w:val="22"/>
          <w:szCs w:val="22"/>
        </w:rPr>
        <w:t>Quartermaine</w:t>
      </w:r>
      <w:proofErr w:type="spellEnd"/>
      <w:r w:rsidR="000C4BF6" w:rsidRPr="00FD34DD">
        <w:rPr>
          <w:rFonts w:cstheme="minorHAnsi"/>
          <w:i/>
          <w:sz w:val="22"/>
          <w:szCs w:val="22"/>
        </w:rPr>
        <w:t xml:space="preserve"> v Commissioner of Police (LC 46/2011);</w:t>
      </w:r>
      <w:r w:rsidR="000C4BF6" w:rsidRPr="00566BC6">
        <w:rPr>
          <w:rFonts w:cstheme="minorHAnsi"/>
          <w:sz w:val="22"/>
          <w:szCs w:val="22"/>
        </w:rPr>
        <w:t xml:space="preserve"> </w:t>
      </w:r>
      <w:proofErr w:type="spellStart"/>
      <w:r w:rsidR="000C4BF6" w:rsidRPr="00FD34DD">
        <w:rPr>
          <w:rFonts w:cstheme="minorHAnsi"/>
          <w:i/>
          <w:sz w:val="22"/>
          <w:szCs w:val="22"/>
        </w:rPr>
        <w:t>Piscopo</w:t>
      </w:r>
      <w:proofErr w:type="spellEnd"/>
      <w:r w:rsidR="000C4BF6" w:rsidRPr="00FD34DD">
        <w:rPr>
          <w:rFonts w:cstheme="minorHAnsi"/>
          <w:i/>
          <w:sz w:val="22"/>
          <w:szCs w:val="22"/>
        </w:rPr>
        <w:t xml:space="preserve"> v Commissioner of Police (LC 55/2011)</w:t>
      </w:r>
      <w:r w:rsidR="000C4BF6" w:rsidRPr="00566BC6">
        <w:rPr>
          <w:rFonts w:cstheme="minorHAnsi"/>
          <w:sz w:val="22"/>
          <w:szCs w:val="22"/>
        </w:rPr>
        <w:t xml:space="preserve">; </w:t>
      </w:r>
      <w:r w:rsidR="002E1AF5" w:rsidRPr="00566BC6">
        <w:rPr>
          <w:rFonts w:cstheme="minorHAnsi"/>
          <w:sz w:val="22"/>
          <w:szCs w:val="22"/>
        </w:rPr>
        <w:t xml:space="preserve">and </w:t>
      </w:r>
      <w:proofErr w:type="spellStart"/>
      <w:r w:rsidR="000C4BF6" w:rsidRPr="00FD34DD">
        <w:rPr>
          <w:rFonts w:cstheme="minorHAnsi"/>
          <w:i/>
          <w:sz w:val="22"/>
          <w:szCs w:val="22"/>
        </w:rPr>
        <w:t>Lewer</w:t>
      </w:r>
      <w:proofErr w:type="spellEnd"/>
      <w:r w:rsidR="000C4BF6" w:rsidRPr="00FD34DD">
        <w:rPr>
          <w:rFonts w:cstheme="minorHAnsi"/>
          <w:i/>
          <w:sz w:val="22"/>
          <w:szCs w:val="22"/>
        </w:rPr>
        <w:t xml:space="preserve"> v Commissioner of Police (LC 58/2011).</w:t>
      </w:r>
    </w:p>
    <w:p w:rsidR="00566BC6" w:rsidRPr="00566BC6" w:rsidRDefault="00566BC6" w:rsidP="00CD5481">
      <w:pPr>
        <w:pStyle w:val="ListParagraph"/>
        <w:jc w:val="both"/>
        <w:rPr>
          <w:rFonts w:cstheme="minorHAnsi"/>
          <w:sz w:val="22"/>
          <w:szCs w:val="22"/>
        </w:rPr>
      </w:pPr>
    </w:p>
    <w:p w:rsidR="007C0342" w:rsidRDefault="006B51AB" w:rsidP="00684391">
      <w:pPr>
        <w:pStyle w:val="ListParagraph"/>
        <w:numPr>
          <w:ilvl w:val="0"/>
          <w:numId w:val="17"/>
        </w:numPr>
        <w:jc w:val="both"/>
        <w:rPr>
          <w:rFonts w:cstheme="minorHAnsi"/>
          <w:sz w:val="22"/>
          <w:szCs w:val="22"/>
        </w:rPr>
      </w:pPr>
      <w:r w:rsidRPr="00566BC6">
        <w:rPr>
          <w:rFonts w:cstheme="minorHAnsi"/>
          <w:sz w:val="22"/>
          <w:szCs w:val="22"/>
        </w:rPr>
        <w:t>The actions of the Applicant were very serious in nature</w:t>
      </w:r>
      <w:r w:rsidR="00566BC6">
        <w:rPr>
          <w:rFonts w:cstheme="minorHAnsi"/>
          <w:sz w:val="22"/>
          <w:szCs w:val="22"/>
        </w:rPr>
        <w:t xml:space="preserve">. </w:t>
      </w:r>
      <w:r w:rsidR="00A90918" w:rsidRPr="00566BC6">
        <w:rPr>
          <w:rFonts w:cstheme="minorHAnsi"/>
          <w:sz w:val="22"/>
          <w:szCs w:val="22"/>
        </w:rPr>
        <w:t xml:space="preserve">The Applicant exposed the public to violent and disorderly behaviour on and </w:t>
      </w:r>
      <w:proofErr w:type="gramStart"/>
      <w:r w:rsidR="008044CB" w:rsidRPr="00566BC6">
        <w:rPr>
          <w:rFonts w:cstheme="minorHAnsi"/>
          <w:sz w:val="22"/>
          <w:szCs w:val="22"/>
        </w:rPr>
        <w:t>in the vicinity of</w:t>
      </w:r>
      <w:proofErr w:type="gramEnd"/>
      <w:r w:rsidR="008044CB" w:rsidRPr="00566BC6">
        <w:rPr>
          <w:rFonts w:cstheme="minorHAnsi"/>
          <w:sz w:val="22"/>
          <w:szCs w:val="22"/>
        </w:rPr>
        <w:t xml:space="preserve"> licensed premises</w:t>
      </w:r>
      <w:r w:rsidRPr="00566BC6">
        <w:rPr>
          <w:rFonts w:cstheme="minorHAnsi"/>
          <w:sz w:val="22"/>
          <w:szCs w:val="22"/>
        </w:rPr>
        <w:t>:</w:t>
      </w:r>
    </w:p>
    <w:p w:rsidR="00566BC6" w:rsidRPr="00566BC6" w:rsidRDefault="00566BC6" w:rsidP="00CD5481">
      <w:pPr>
        <w:pStyle w:val="ListParagraph"/>
        <w:jc w:val="both"/>
        <w:rPr>
          <w:rFonts w:cstheme="minorHAnsi"/>
          <w:sz w:val="22"/>
          <w:szCs w:val="22"/>
        </w:rPr>
      </w:pPr>
    </w:p>
    <w:p w:rsidR="00566BC6" w:rsidRPr="00566BC6" w:rsidRDefault="00566BC6" w:rsidP="00684391">
      <w:pPr>
        <w:pStyle w:val="ListParagraph"/>
        <w:numPr>
          <w:ilvl w:val="0"/>
          <w:numId w:val="24"/>
        </w:numPr>
        <w:ind w:left="1080"/>
        <w:jc w:val="both"/>
        <w:rPr>
          <w:rFonts w:cstheme="minorHAnsi"/>
          <w:sz w:val="22"/>
          <w:szCs w:val="22"/>
        </w:rPr>
      </w:pPr>
      <w:r w:rsidRPr="00566BC6">
        <w:rPr>
          <w:rFonts w:cstheme="minorHAnsi"/>
          <w:sz w:val="22"/>
          <w:szCs w:val="22"/>
        </w:rPr>
        <w:t>the Applicant’s behaviour in standing on a table in the Venue and launching himself at other patrons was dangerous, senseless and reckless and could have resulted in injury to several people as well as the Applicant himself;</w:t>
      </w:r>
    </w:p>
    <w:p w:rsidR="00566BC6" w:rsidRPr="007433B0" w:rsidRDefault="00566BC6" w:rsidP="00CD5481">
      <w:pPr>
        <w:ind w:left="360"/>
        <w:jc w:val="both"/>
        <w:rPr>
          <w:rFonts w:cstheme="minorHAnsi"/>
          <w:sz w:val="22"/>
          <w:szCs w:val="22"/>
        </w:rPr>
      </w:pPr>
    </w:p>
    <w:p w:rsidR="00566BC6" w:rsidRPr="00566BC6" w:rsidRDefault="00566BC6" w:rsidP="00684391">
      <w:pPr>
        <w:pStyle w:val="ListParagraph"/>
        <w:numPr>
          <w:ilvl w:val="0"/>
          <w:numId w:val="24"/>
        </w:numPr>
        <w:ind w:left="1080"/>
        <w:jc w:val="both"/>
        <w:rPr>
          <w:rFonts w:cstheme="minorHAnsi"/>
          <w:sz w:val="22"/>
          <w:szCs w:val="22"/>
        </w:rPr>
      </w:pPr>
      <w:r w:rsidRPr="00566BC6">
        <w:rPr>
          <w:rFonts w:cstheme="minorHAnsi"/>
          <w:sz w:val="22"/>
          <w:szCs w:val="22"/>
        </w:rPr>
        <w:t>the Applicant argued and struggled with other patrons as well as Venue security who were trying to remove him from the premises due to his behaviour; and</w:t>
      </w:r>
    </w:p>
    <w:p w:rsidR="00566BC6" w:rsidRPr="007433B0" w:rsidRDefault="00566BC6" w:rsidP="00CD5481">
      <w:pPr>
        <w:ind w:left="360"/>
        <w:jc w:val="both"/>
        <w:rPr>
          <w:rFonts w:cstheme="minorHAnsi"/>
          <w:sz w:val="22"/>
          <w:szCs w:val="22"/>
        </w:rPr>
      </w:pPr>
    </w:p>
    <w:p w:rsidR="00566BC6" w:rsidRPr="00566BC6" w:rsidRDefault="00566BC6" w:rsidP="00684391">
      <w:pPr>
        <w:pStyle w:val="ListParagraph"/>
        <w:numPr>
          <w:ilvl w:val="0"/>
          <w:numId w:val="24"/>
        </w:numPr>
        <w:ind w:left="1080"/>
        <w:jc w:val="both"/>
        <w:rPr>
          <w:rFonts w:cstheme="minorHAnsi"/>
          <w:sz w:val="22"/>
          <w:szCs w:val="22"/>
        </w:rPr>
      </w:pPr>
      <w:r w:rsidRPr="00566BC6">
        <w:rPr>
          <w:rFonts w:cstheme="minorHAnsi"/>
          <w:sz w:val="22"/>
          <w:szCs w:val="22"/>
        </w:rPr>
        <w:t xml:space="preserve">the Applicant’s aggressive and disruptive behaviour continued once he left the Venue and went outside into the Piazza which is an open and busy public space. Several members of the </w:t>
      </w:r>
      <w:proofErr w:type="gramStart"/>
      <w:r w:rsidRPr="00566BC6">
        <w:rPr>
          <w:rFonts w:cstheme="minorHAnsi"/>
          <w:sz w:val="22"/>
          <w:szCs w:val="22"/>
        </w:rPr>
        <w:t>general public</w:t>
      </w:r>
      <w:proofErr w:type="gramEnd"/>
      <w:r w:rsidRPr="00566BC6">
        <w:rPr>
          <w:rFonts w:cstheme="minorHAnsi"/>
          <w:sz w:val="22"/>
          <w:szCs w:val="22"/>
        </w:rPr>
        <w:t xml:space="preserve"> witnessed the Incident. </w:t>
      </w:r>
    </w:p>
    <w:p w:rsidR="00566BC6" w:rsidRPr="00566BC6" w:rsidRDefault="00566BC6" w:rsidP="00CD5481">
      <w:pPr>
        <w:pStyle w:val="ListParagraph"/>
        <w:jc w:val="both"/>
        <w:rPr>
          <w:rFonts w:cstheme="minorHAnsi"/>
          <w:sz w:val="22"/>
          <w:szCs w:val="22"/>
        </w:rPr>
      </w:pPr>
    </w:p>
    <w:p w:rsidR="008044CB" w:rsidRDefault="006075BB" w:rsidP="00684391">
      <w:pPr>
        <w:pStyle w:val="ListParagraph"/>
        <w:numPr>
          <w:ilvl w:val="0"/>
          <w:numId w:val="17"/>
        </w:numPr>
        <w:jc w:val="both"/>
        <w:rPr>
          <w:rFonts w:cstheme="minorHAnsi"/>
          <w:sz w:val="22"/>
          <w:szCs w:val="22"/>
        </w:rPr>
      </w:pPr>
      <w:r w:rsidRPr="00566BC6">
        <w:rPr>
          <w:rFonts w:cstheme="minorHAnsi"/>
          <w:sz w:val="22"/>
          <w:szCs w:val="22"/>
        </w:rPr>
        <w:t>While I accept that there is no prior criminal record against the Applicant</w:t>
      </w:r>
      <w:r w:rsidR="00B44E15" w:rsidRPr="00566BC6">
        <w:rPr>
          <w:rFonts w:cstheme="minorHAnsi"/>
          <w:sz w:val="22"/>
          <w:szCs w:val="22"/>
        </w:rPr>
        <w:t xml:space="preserve"> and the Applicant states the behaviour was out of character for him</w:t>
      </w:r>
      <w:r w:rsidRPr="00566BC6">
        <w:rPr>
          <w:rFonts w:cstheme="minorHAnsi"/>
          <w:sz w:val="22"/>
          <w:szCs w:val="22"/>
        </w:rPr>
        <w:t>, it is clear from the wording of section 115AA that a single incident is sufficient to give rise to a barring notice.</w:t>
      </w:r>
      <w:r w:rsidR="00085BD9" w:rsidRPr="00566BC6">
        <w:rPr>
          <w:rFonts w:cstheme="minorHAnsi"/>
          <w:sz w:val="22"/>
          <w:szCs w:val="22"/>
        </w:rPr>
        <w:t xml:space="preserve"> </w:t>
      </w:r>
      <w:r w:rsidR="00193193" w:rsidRPr="00566BC6">
        <w:rPr>
          <w:rFonts w:cstheme="minorHAnsi"/>
          <w:sz w:val="22"/>
          <w:szCs w:val="22"/>
        </w:rPr>
        <w:t>Furthermore,</w:t>
      </w:r>
      <w:r w:rsidR="00085BD9" w:rsidRPr="00566BC6">
        <w:rPr>
          <w:rFonts w:cstheme="minorHAnsi"/>
          <w:sz w:val="22"/>
          <w:szCs w:val="22"/>
        </w:rPr>
        <w:t xml:space="preserve"> the Applicant has not provided any </w:t>
      </w:r>
      <w:r w:rsidR="00395A93" w:rsidRPr="00566BC6">
        <w:rPr>
          <w:rFonts w:cstheme="minorHAnsi"/>
          <w:sz w:val="22"/>
          <w:szCs w:val="22"/>
        </w:rPr>
        <w:t>personal</w:t>
      </w:r>
      <w:r w:rsidR="00085BD9" w:rsidRPr="00566BC6">
        <w:rPr>
          <w:rFonts w:cstheme="minorHAnsi"/>
          <w:sz w:val="22"/>
          <w:szCs w:val="22"/>
        </w:rPr>
        <w:t xml:space="preserve"> references </w:t>
      </w:r>
      <w:r w:rsidR="008044CB" w:rsidRPr="00566BC6">
        <w:rPr>
          <w:rFonts w:cstheme="minorHAnsi"/>
          <w:sz w:val="22"/>
          <w:szCs w:val="22"/>
        </w:rPr>
        <w:t>to support his submissions</w:t>
      </w:r>
      <w:r w:rsidR="00FE13B2" w:rsidRPr="00566BC6">
        <w:rPr>
          <w:rFonts w:cstheme="minorHAnsi"/>
          <w:sz w:val="22"/>
          <w:szCs w:val="22"/>
        </w:rPr>
        <w:t xml:space="preserve"> regarding his general </w:t>
      </w:r>
      <w:r w:rsidR="008333BE">
        <w:rPr>
          <w:rFonts w:cstheme="minorHAnsi"/>
          <w:sz w:val="22"/>
          <w:szCs w:val="22"/>
        </w:rPr>
        <w:t xml:space="preserve">good </w:t>
      </w:r>
      <w:r w:rsidR="00395A93" w:rsidRPr="00566BC6">
        <w:rPr>
          <w:rFonts w:cstheme="minorHAnsi"/>
          <w:sz w:val="22"/>
          <w:szCs w:val="22"/>
        </w:rPr>
        <w:t>character.</w:t>
      </w:r>
      <w:r w:rsidR="00085BD9" w:rsidRPr="00566BC6">
        <w:rPr>
          <w:rFonts w:cstheme="minorHAnsi"/>
          <w:sz w:val="22"/>
          <w:szCs w:val="22"/>
        </w:rPr>
        <w:t xml:space="preserve"> </w:t>
      </w:r>
    </w:p>
    <w:p w:rsidR="00566BC6" w:rsidRDefault="00566BC6" w:rsidP="00CD5481">
      <w:pPr>
        <w:pStyle w:val="ListParagraph"/>
        <w:jc w:val="both"/>
        <w:rPr>
          <w:rFonts w:cstheme="minorHAnsi"/>
          <w:sz w:val="22"/>
          <w:szCs w:val="22"/>
        </w:rPr>
      </w:pPr>
    </w:p>
    <w:p w:rsidR="001630BD" w:rsidRDefault="008044CB" w:rsidP="00684391">
      <w:pPr>
        <w:pStyle w:val="ListParagraph"/>
        <w:numPr>
          <w:ilvl w:val="0"/>
          <w:numId w:val="17"/>
        </w:numPr>
        <w:jc w:val="both"/>
        <w:rPr>
          <w:rFonts w:cstheme="minorHAnsi"/>
          <w:sz w:val="22"/>
          <w:szCs w:val="22"/>
        </w:rPr>
      </w:pPr>
      <w:r w:rsidRPr="00566BC6">
        <w:rPr>
          <w:rFonts w:cstheme="minorHAnsi"/>
          <w:sz w:val="22"/>
          <w:szCs w:val="22"/>
        </w:rPr>
        <w:t xml:space="preserve">The Applicant also acknowledges </w:t>
      </w:r>
      <w:r w:rsidR="00FE13B2" w:rsidRPr="00566BC6">
        <w:rPr>
          <w:rFonts w:cstheme="minorHAnsi"/>
          <w:sz w:val="22"/>
          <w:szCs w:val="22"/>
        </w:rPr>
        <w:t>he is</w:t>
      </w:r>
      <w:r w:rsidR="00CA04F9" w:rsidRPr="00566BC6">
        <w:rPr>
          <w:rFonts w:cstheme="minorHAnsi"/>
          <w:sz w:val="22"/>
          <w:szCs w:val="22"/>
        </w:rPr>
        <w:t xml:space="preserve"> address</w:t>
      </w:r>
      <w:r w:rsidR="00FE13B2" w:rsidRPr="00566BC6">
        <w:rPr>
          <w:rFonts w:cstheme="minorHAnsi"/>
          <w:sz w:val="22"/>
          <w:szCs w:val="22"/>
        </w:rPr>
        <w:t>ing</w:t>
      </w:r>
      <w:r w:rsidRPr="00566BC6">
        <w:rPr>
          <w:rFonts w:cstheme="minorHAnsi"/>
          <w:sz w:val="22"/>
          <w:szCs w:val="22"/>
        </w:rPr>
        <w:t xml:space="preserve"> issues </w:t>
      </w:r>
      <w:proofErr w:type="gramStart"/>
      <w:r w:rsidR="00CA04F9" w:rsidRPr="00566BC6">
        <w:rPr>
          <w:rFonts w:cstheme="minorHAnsi"/>
          <w:sz w:val="22"/>
          <w:szCs w:val="22"/>
        </w:rPr>
        <w:t>with regard to</w:t>
      </w:r>
      <w:proofErr w:type="gramEnd"/>
      <w:r w:rsidR="00CA04F9" w:rsidRPr="00566BC6">
        <w:rPr>
          <w:rFonts w:cstheme="minorHAnsi"/>
          <w:sz w:val="22"/>
          <w:szCs w:val="22"/>
        </w:rPr>
        <w:t xml:space="preserve"> his </w:t>
      </w:r>
      <w:r w:rsidR="00FE13B2" w:rsidRPr="00566BC6">
        <w:rPr>
          <w:rFonts w:cstheme="minorHAnsi"/>
          <w:sz w:val="22"/>
          <w:szCs w:val="22"/>
        </w:rPr>
        <w:t xml:space="preserve">attitude and </w:t>
      </w:r>
      <w:r w:rsidR="00CA04F9" w:rsidRPr="00566BC6">
        <w:rPr>
          <w:rFonts w:cstheme="minorHAnsi"/>
          <w:sz w:val="22"/>
          <w:szCs w:val="22"/>
        </w:rPr>
        <w:t xml:space="preserve">behaviour </w:t>
      </w:r>
      <w:r w:rsidRPr="00566BC6">
        <w:rPr>
          <w:rFonts w:cstheme="minorHAnsi"/>
          <w:sz w:val="22"/>
          <w:szCs w:val="22"/>
        </w:rPr>
        <w:t>and has sought help from a psychologist</w:t>
      </w:r>
      <w:r w:rsidR="00CA04F9" w:rsidRPr="00566BC6">
        <w:rPr>
          <w:rFonts w:cstheme="minorHAnsi"/>
          <w:sz w:val="22"/>
          <w:szCs w:val="22"/>
        </w:rPr>
        <w:t>. H</w:t>
      </w:r>
      <w:r w:rsidRPr="00566BC6">
        <w:rPr>
          <w:rFonts w:cstheme="minorHAnsi"/>
          <w:sz w:val="22"/>
          <w:szCs w:val="22"/>
        </w:rPr>
        <w:t>owever again, he does not provide any evidence of this</w:t>
      </w:r>
      <w:r w:rsidR="00CA04F9" w:rsidRPr="00566BC6">
        <w:rPr>
          <w:rFonts w:cstheme="minorHAnsi"/>
          <w:sz w:val="22"/>
          <w:szCs w:val="22"/>
        </w:rPr>
        <w:t xml:space="preserve"> or </w:t>
      </w:r>
      <w:r w:rsidR="00FE13B2" w:rsidRPr="00566BC6">
        <w:rPr>
          <w:rFonts w:cstheme="minorHAnsi"/>
          <w:sz w:val="22"/>
          <w:szCs w:val="22"/>
        </w:rPr>
        <w:t>information as to</w:t>
      </w:r>
      <w:r w:rsidR="00CA04F9" w:rsidRPr="00566BC6">
        <w:rPr>
          <w:rFonts w:cstheme="minorHAnsi"/>
          <w:sz w:val="22"/>
          <w:szCs w:val="22"/>
        </w:rPr>
        <w:t xml:space="preserve"> what stage he </w:t>
      </w:r>
      <w:r w:rsidR="00FE13B2" w:rsidRPr="00566BC6">
        <w:rPr>
          <w:rFonts w:cstheme="minorHAnsi"/>
          <w:sz w:val="22"/>
          <w:szCs w:val="22"/>
        </w:rPr>
        <w:t>is currently at</w:t>
      </w:r>
      <w:r w:rsidR="00395A93" w:rsidRPr="00566BC6">
        <w:rPr>
          <w:rFonts w:cstheme="minorHAnsi"/>
          <w:sz w:val="22"/>
          <w:szCs w:val="22"/>
        </w:rPr>
        <w:t xml:space="preserve"> in his treatment</w:t>
      </w:r>
      <w:r w:rsidR="00FE13B2" w:rsidRPr="00566BC6">
        <w:rPr>
          <w:rFonts w:cstheme="minorHAnsi"/>
          <w:sz w:val="22"/>
          <w:szCs w:val="22"/>
        </w:rPr>
        <w:t xml:space="preserve">. </w:t>
      </w:r>
      <w:r w:rsidR="006B51AB" w:rsidRPr="00566BC6">
        <w:rPr>
          <w:rFonts w:cstheme="minorHAnsi"/>
          <w:sz w:val="22"/>
          <w:szCs w:val="22"/>
        </w:rPr>
        <w:t xml:space="preserve">It appears to me that there is some risk the Applicant will </w:t>
      </w:r>
      <w:r w:rsidRPr="00566BC6">
        <w:rPr>
          <w:rFonts w:cstheme="minorHAnsi"/>
          <w:sz w:val="22"/>
          <w:szCs w:val="22"/>
        </w:rPr>
        <w:t xml:space="preserve">behave in </w:t>
      </w:r>
      <w:r w:rsidR="006B51AB" w:rsidRPr="00566BC6">
        <w:rPr>
          <w:rFonts w:cstheme="minorHAnsi"/>
          <w:sz w:val="22"/>
          <w:szCs w:val="22"/>
        </w:rPr>
        <w:t>a similar manner in the future and t</w:t>
      </w:r>
      <w:r w:rsidRPr="00566BC6">
        <w:rPr>
          <w:rFonts w:cstheme="minorHAnsi"/>
          <w:sz w:val="22"/>
          <w:szCs w:val="22"/>
        </w:rPr>
        <w:t xml:space="preserve">hat risk can be minimised by the terms of the barring notice </w:t>
      </w:r>
      <w:r w:rsidRPr="00FD34DD">
        <w:rPr>
          <w:rFonts w:cstheme="minorHAnsi"/>
          <w:i/>
          <w:sz w:val="22"/>
          <w:szCs w:val="22"/>
        </w:rPr>
        <w:t>[Batty v Commissioner of Police (LC 33/2011)]</w:t>
      </w:r>
      <w:r w:rsidRPr="00566BC6">
        <w:rPr>
          <w:rFonts w:cstheme="minorHAnsi"/>
          <w:sz w:val="22"/>
          <w:szCs w:val="22"/>
        </w:rPr>
        <w:t xml:space="preserve">. </w:t>
      </w:r>
    </w:p>
    <w:p w:rsidR="00566BC6" w:rsidRPr="00566BC6" w:rsidRDefault="00566BC6" w:rsidP="00CD5481">
      <w:pPr>
        <w:pStyle w:val="ListParagraph"/>
        <w:jc w:val="both"/>
        <w:rPr>
          <w:rFonts w:cstheme="minorHAnsi"/>
          <w:sz w:val="22"/>
          <w:szCs w:val="22"/>
        </w:rPr>
      </w:pPr>
    </w:p>
    <w:p w:rsidR="00CA04F9" w:rsidRDefault="00395A93" w:rsidP="00684391">
      <w:pPr>
        <w:pStyle w:val="ListParagraph"/>
        <w:numPr>
          <w:ilvl w:val="0"/>
          <w:numId w:val="17"/>
        </w:numPr>
        <w:jc w:val="both"/>
        <w:rPr>
          <w:rFonts w:cstheme="minorHAnsi"/>
          <w:sz w:val="22"/>
          <w:szCs w:val="22"/>
        </w:rPr>
      </w:pPr>
      <w:r w:rsidRPr="00566BC6">
        <w:rPr>
          <w:rFonts w:cstheme="minorHAnsi"/>
          <w:sz w:val="22"/>
          <w:szCs w:val="22"/>
        </w:rPr>
        <w:t>Finally, a</w:t>
      </w:r>
      <w:r w:rsidR="006B51AB" w:rsidRPr="00566BC6">
        <w:rPr>
          <w:rFonts w:cstheme="minorHAnsi"/>
          <w:sz w:val="22"/>
          <w:szCs w:val="22"/>
        </w:rPr>
        <w:t>lthough t</w:t>
      </w:r>
      <w:r w:rsidR="001630BD" w:rsidRPr="00566BC6">
        <w:rPr>
          <w:rFonts w:cstheme="minorHAnsi"/>
          <w:sz w:val="22"/>
          <w:szCs w:val="22"/>
        </w:rPr>
        <w:t xml:space="preserve">he Applicant states that </w:t>
      </w:r>
      <w:r w:rsidR="005623F1" w:rsidRPr="00566BC6">
        <w:rPr>
          <w:rFonts w:cstheme="minorHAnsi"/>
          <w:sz w:val="22"/>
          <w:szCs w:val="22"/>
        </w:rPr>
        <w:t xml:space="preserve">he is being treated unfairly because </w:t>
      </w:r>
      <w:r w:rsidR="000523BF" w:rsidRPr="00566BC6">
        <w:rPr>
          <w:rFonts w:cstheme="minorHAnsi"/>
          <w:sz w:val="22"/>
          <w:szCs w:val="22"/>
        </w:rPr>
        <w:t>his actions have already been dealt with</w:t>
      </w:r>
      <w:r w:rsidR="008044CB" w:rsidRPr="00566BC6">
        <w:rPr>
          <w:rFonts w:cstheme="minorHAnsi"/>
          <w:sz w:val="22"/>
          <w:szCs w:val="22"/>
        </w:rPr>
        <w:t xml:space="preserve"> and </w:t>
      </w:r>
      <w:r w:rsidR="000523BF" w:rsidRPr="00566BC6">
        <w:rPr>
          <w:rFonts w:cstheme="minorHAnsi"/>
          <w:sz w:val="22"/>
          <w:szCs w:val="22"/>
        </w:rPr>
        <w:t xml:space="preserve">he </w:t>
      </w:r>
      <w:r w:rsidR="008044CB" w:rsidRPr="00566BC6">
        <w:rPr>
          <w:rFonts w:cstheme="minorHAnsi"/>
          <w:sz w:val="22"/>
          <w:szCs w:val="22"/>
        </w:rPr>
        <w:t>has shown remorse</w:t>
      </w:r>
      <w:r w:rsidR="006B51AB" w:rsidRPr="00566BC6">
        <w:rPr>
          <w:rFonts w:cstheme="minorHAnsi"/>
          <w:sz w:val="22"/>
          <w:szCs w:val="22"/>
        </w:rPr>
        <w:t>,</w:t>
      </w:r>
      <w:r w:rsidR="00CA04F9" w:rsidRPr="00566BC6">
        <w:rPr>
          <w:rFonts w:cstheme="minorHAnsi"/>
          <w:sz w:val="22"/>
          <w:szCs w:val="22"/>
        </w:rPr>
        <w:t xml:space="preserve"> the purpose of the Barring Notice is not </w:t>
      </w:r>
      <w:r w:rsidR="00647269" w:rsidRPr="00566BC6">
        <w:rPr>
          <w:rFonts w:cstheme="minorHAnsi"/>
          <w:sz w:val="22"/>
          <w:szCs w:val="22"/>
        </w:rPr>
        <w:t>intended as a punishment</w:t>
      </w:r>
      <w:r w:rsidR="00CA04F9" w:rsidRPr="00566BC6">
        <w:rPr>
          <w:rFonts w:cstheme="minorHAnsi"/>
          <w:sz w:val="22"/>
          <w:szCs w:val="22"/>
        </w:rPr>
        <w:t>. Rather, it serves as a measure to protect the public from anti-social behaviour, such as the Applicant’s,</w:t>
      </w:r>
      <w:r w:rsidR="008333BE">
        <w:rPr>
          <w:rFonts w:cstheme="minorHAnsi"/>
          <w:sz w:val="22"/>
          <w:szCs w:val="22"/>
        </w:rPr>
        <w:t xml:space="preserve"> in and around licensed premises</w:t>
      </w:r>
      <w:r w:rsidR="00CA04F9" w:rsidRPr="00566BC6">
        <w:rPr>
          <w:rFonts w:cstheme="minorHAnsi"/>
          <w:sz w:val="22"/>
          <w:szCs w:val="22"/>
        </w:rPr>
        <w:t xml:space="preserve">. </w:t>
      </w:r>
      <w:r w:rsidR="006B51AB" w:rsidRPr="00566BC6">
        <w:rPr>
          <w:rFonts w:cstheme="minorHAnsi"/>
          <w:sz w:val="22"/>
          <w:szCs w:val="22"/>
        </w:rPr>
        <w:t xml:space="preserve"> </w:t>
      </w:r>
    </w:p>
    <w:p w:rsidR="00566BC6" w:rsidRPr="00566BC6" w:rsidRDefault="00566BC6" w:rsidP="00CD5481">
      <w:pPr>
        <w:pStyle w:val="ListParagraph"/>
        <w:jc w:val="both"/>
        <w:rPr>
          <w:rFonts w:cstheme="minorHAnsi"/>
          <w:sz w:val="22"/>
          <w:szCs w:val="22"/>
        </w:rPr>
      </w:pPr>
    </w:p>
    <w:p w:rsidR="00B44E15" w:rsidRDefault="00CA04F9" w:rsidP="00684391">
      <w:pPr>
        <w:pStyle w:val="ListParagraph"/>
        <w:numPr>
          <w:ilvl w:val="0"/>
          <w:numId w:val="17"/>
        </w:numPr>
        <w:jc w:val="both"/>
        <w:rPr>
          <w:rFonts w:cstheme="minorHAnsi"/>
          <w:sz w:val="22"/>
          <w:szCs w:val="22"/>
        </w:rPr>
      </w:pPr>
      <w:r w:rsidRPr="00566BC6">
        <w:rPr>
          <w:rFonts w:cstheme="minorHAnsi"/>
          <w:sz w:val="22"/>
          <w:szCs w:val="22"/>
        </w:rPr>
        <w:t>I</w:t>
      </w:r>
      <w:r w:rsidR="005623F1" w:rsidRPr="00566BC6">
        <w:rPr>
          <w:rFonts w:cstheme="minorHAnsi"/>
          <w:sz w:val="22"/>
          <w:szCs w:val="22"/>
        </w:rPr>
        <w:t>n</w:t>
      </w:r>
      <w:r w:rsidR="000C4BF6" w:rsidRPr="00566BC6">
        <w:rPr>
          <w:rFonts w:cstheme="minorHAnsi"/>
          <w:sz w:val="22"/>
          <w:szCs w:val="22"/>
        </w:rPr>
        <w:t xml:space="preserve"> balancing the above considerations, </w:t>
      </w:r>
      <w:r w:rsidRPr="00566BC6">
        <w:rPr>
          <w:rFonts w:cstheme="minorHAnsi"/>
          <w:sz w:val="22"/>
          <w:szCs w:val="22"/>
        </w:rPr>
        <w:t xml:space="preserve">the punitive effect of the Barring </w:t>
      </w:r>
      <w:r w:rsidR="00395A93" w:rsidRPr="00566BC6">
        <w:rPr>
          <w:rFonts w:cstheme="minorHAnsi"/>
          <w:sz w:val="22"/>
          <w:szCs w:val="22"/>
        </w:rPr>
        <w:t>Notice</w:t>
      </w:r>
      <w:r w:rsidRPr="00566BC6">
        <w:rPr>
          <w:rFonts w:cstheme="minorHAnsi"/>
          <w:sz w:val="22"/>
          <w:szCs w:val="22"/>
        </w:rPr>
        <w:t xml:space="preserve"> is relatively </w:t>
      </w:r>
      <w:r w:rsidR="00647269" w:rsidRPr="00566BC6">
        <w:rPr>
          <w:rFonts w:cstheme="minorHAnsi"/>
          <w:sz w:val="22"/>
          <w:szCs w:val="22"/>
        </w:rPr>
        <w:t>low</w:t>
      </w:r>
      <w:r w:rsidRPr="00566BC6">
        <w:rPr>
          <w:rFonts w:cstheme="minorHAnsi"/>
          <w:sz w:val="22"/>
          <w:szCs w:val="22"/>
        </w:rPr>
        <w:t xml:space="preserve"> when balanced with the protection of the </w:t>
      </w:r>
      <w:proofErr w:type="gramStart"/>
      <w:r w:rsidR="00100D51" w:rsidRPr="00566BC6">
        <w:rPr>
          <w:rFonts w:cstheme="minorHAnsi"/>
          <w:sz w:val="22"/>
          <w:szCs w:val="22"/>
        </w:rPr>
        <w:t xml:space="preserve">general </w:t>
      </w:r>
      <w:r w:rsidRPr="00566BC6">
        <w:rPr>
          <w:rFonts w:cstheme="minorHAnsi"/>
          <w:sz w:val="22"/>
          <w:szCs w:val="22"/>
        </w:rPr>
        <w:t>public</w:t>
      </w:r>
      <w:proofErr w:type="gramEnd"/>
      <w:r w:rsidR="00647269" w:rsidRPr="00566BC6">
        <w:rPr>
          <w:rFonts w:cstheme="minorHAnsi"/>
          <w:sz w:val="22"/>
          <w:szCs w:val="22"/>
        </w:rPr>
        <w:t xml:space="preserve">. </w:t>
      </w:r>
      <w:r w:rsidR="008333BE">
        <w:rPr>
          <w:rFonts w:cstheme="minorHAnsi"/>
          <w:sz w:val="22"/>
          <w:szCs w:val="22"/>
        </w:rPr>
        <w:t>The</w:t>
      </w:r>
      <w:r w:rsidR="000C4BF6" w:rsidRPr="00566BC6">
        <w:rPr>
          <w:rFonts w:cstheme="minorHAnsi"/>
          <w:sz w:val="22"/>
          <w:szCs w:val="22"/>
        </w:rPr>
        <w:t xml:space="preserve"> </w:t>
      </w:r>
      <w:r w:rsidR="005623F1" w:rsidRPr="00566BC6">
        <w:rPr>
          <w:rFonts w:cstheme="minorHAnsi"/>
          <w:sz w:val="22"/>
          <w:szCs w:val="22"/>
        </w:rPr>
        <w:t xml:space="preserve">terms </w:t>
      </w:r>
      <w:r w:rsidR="008044CB" w:rsidRPr="00566BC6">
        <w:rPr>
          <w:rFonts w:cstheme="minorHAnsi"/>
          <w:sz w:val="22"/>
          <w:szCs w:val="22"/>
        </w:rPr>
        <w:t xml:space="preserve">and length </w:t>
      </w:r>
      <w:r w:rsidR="000C4BF6" w:rsidRPr="00566BC6">
        <w:rPr>
          <w:rFonts w:cstheme="minorHAnsi"/>
          <w:sz w:val="22"/>
          <w:szCs w:val="22"/>
        </w:rPr>
        <w:t xml:space="preserve">of the Barring Notice </w:t>
      </w:r>
      <w:r w:rsidR="00757D5F" w:rsidRPr="00566BC6">
        <w:rPr>
          <w:rFonts w:cstheme="minorHAnsi"/>
          <w:sz w:val="22"/>
          <w:szCs w:val="22"/>
        </w:rPr>
        <w:t>are</w:t>
      </w:r>
      <w:r w:rsidR="006B51AB" w:rsidRPr="00566BC6">
        <w:rPr>
          <w:rFonts w:cstheme="minorHAnsi"/>
          <w:sz w:val="22"/>
          <w:szCs w:val="22"/>
        </w:rPr>
        <w:t xml:space="preserve"> appropriate to assure</w:t>
      </w:r>
      <w:r w:rsidR="00B44E15" w:rsidRPr="00566BC6">
        <w:rPr>
          <w:rFonts w:cstheme="minorHAnsi"/>
          <w:sz w:val="22"/>
          <w:szCs w:val="22"/>
        </w:rPr>
        <w:t xml:space="preserve"> the public that they are in safe environments and can expect that they will not be </w:t>
      </w:r>
      <w:r w:rsidR="006B51AB" w:rsidRPr="00566BC6">
        <w:rPr>
          <w:rFonts w:cstheme="minorHAnsi"/>
          <w:sz w:val="22"/>
          <w:szCs w:val="22"/>
        </w:rPr>
        <w:t>exposed to disorderly behaviour</w:t>
      </w:r>
      <w:r w:rsidR="00647269" w:rsidRPr="00566BC6">
        <w:rPr>
          <w:rFonts w:cstheme="minorHAnsi"/>
          <w:sz w:val="22"/>
          <w:szCs w:val="22"/>
        </w:rPr>
        <w:t>. I</w:t>
      </w:r>
      <w:r w:rsidR="006B51AB" w:rsidRPr="00566BC6">
        <w:rPr>
          <w:rFonts w:cstheme="minorHAnsi"/>
          <w:sz w:val="22"/>
          <w:szCs w:val="22"/>
        </w:rPr>
        <w:t xml:space="preserve">t will </w:t>
      </w:r>
      <w:r w:rsidR="00647269" w:rsidRPr="00566BC6">
        <w:rPr>
          <w:rFonts w:cstheme="minorHAnsi"/>
          <w:sz w:val="22"/>
          <w:szCs w:val="22"/>
        </w:rPr>
        <w:t xml:space="preserve">also </w:t>
      </w:r>
      <w:r w:rsidR="006B51AB" w:rsidRPr="00566BC6">
        <w:rPr>
          <w:rFonts w:cstheme="minorHAnsi"/>
          <w:sz w:val="22"/>
          <w:szCs w:val="22"/>
        </w:rPr>
        <w:t>a</w:t>
      </w:r>
      <w:r w:rsidR="00B44E15" w:rsidRPr="00566BC6">
        <w:rPr>
          <w:rFonts w:cstheme="minorHAnsi"/>
          <w:sz w:val="22"/>
          <w:szCs w:val="22"/>
        </w:rPr>
        <w:t>llow the applicant th</w:t>
      </w:r>
      <w:r w:rsidR="008044CB" w:rsidRPr="00566BC6">
        <w:rPr>
          <w:rFonts w:cstheme="minorHAnsi"/>
          <w:sz w:val="22"/>
          <w:szCs w:val="22"/>
        </w:rPr>
        <w:t xml:space="preserve">e opportunity for </w:t>
      </w:r>
      <w:r w:rsidR="006B51AB" w:rsidRPr="00566BC6">
        <w:rPr>
          <w:rFonts w:cstheme="minorHAnsi"/>
          <w:sz w:val="22"/>
          <w:szCs w:val="22"/>
        </w:rPr>
        <w:t xml:space="preserve">further </w:t>
      </w:r>
      <w:r w:rsidR="008044CB" w:rsidRPr="00566BC6">
        <w:rPr>
          <w:rFonts w:cstheme="minorHAnsi"/>
          <w:sz w:val="22"/>
          <w:szCs w:val="22"/>
        </w:rPr>
        <w:t>introspection</w:t>
      </w:r>
      <w:r w:rsidR="006B51AB" w:rsidRPr="00566BC6">
        <w:rPr>
          <w:rFonts w:cstheme="minorHAnsi"/>
          <w:sz w:val="22"/>
          <w:szCs w:val="22"/>
        </w:rPr>
        <w:t xml:space="preserve"> </w:t>
      </w:r>
      <w:r w:rsidR="00395A93" w:rsidRPr="00566BC6">
        <w:rPr>
          <w:rFonts w:cstheme="minorHAnsi"/>
          <w:sz w:val="22"/>
          <w:szCs w:val="22"/>
        </w:rPr>
        <w:t>in</w:t>
      </w:r>
      <w:r w:rsidR="00100D51" w:rsidRPr="00566BC6">
        <w:rPr>
          <w:rFonts w:cstheme="minorHAnsi"/>
          <w:sz w:val="22"/>
          <w:szCs w:val="22"/>
        </w:rPr>
        <w:t xml:space="preserve"> assess</w:t>
      </w:r>
      <w:r w:rsidR="00395A93" w:rsidRPr="00566BC6">
        <w:rPr>
          <w:rFonts w:cstheme="minorHAnsi"/>
          <w:sz w:val="22"/>
          <w:szCs w:val="22"/>
        </w:rPr>
        <w:t xml:space="preserve">ing </w:t>
      </w:r>
      <w:r w:rsidR="00100D51" w:rsidRPr="00566BC6">
        <w:rPr>
          <w:rFonts w:cstheme="minorHAnsi"/>
          <w:sz w:val="22"/>
          <w:szCs w:val="22"/>
        </w:rPr>
        <w:t xml:space="preserve">his </w:t>
      </w:r>
      <w:r w:rsidR="00B44E15" w:rsidRPr="00566BC6">
        <w:rPr>
          <w:rFonts w:cstheme="minorHAnsi"/>
          <w:sz w:val="22"/>
          <w:szCs w:val="22"/>
        </w:rPr>
        <w:t xml:space="preserve">behaviour and actions </w:t>
      </w:r>
      <w:r w:rsidR="00FF11B5" w:rsidRPr="00566BC6">
        <w:rPr>
          <w:rFonts w:cstheme="minorHAnsi"/>
          <w:sz w:val="22"/>
          <w:szCs w:val="22"/>
        </w:rPr>
        <w:t xml:space="preserve">and </w:t>
      </w:r>
      <w:r w:rsidR="008333BE">
        <w:rPr>
          <w:rFonts w:cstheme="minorHAnsi"/>
          <w:sz w:val="22"/>
          <w:szCs w:val="22"/>
        </w:rPr>
        <w:t xml:space="preserve">to consider </w:t>
      </w:r>
      <w:r w:rsidR="00FF11B5" w:rsidRPr="00566BC6">
        <w:rPr>
          <w:rFonts w:cstheme="minorHAnsi"/>
          <w:sz w:val="22"/>
          <w:szCs w:val="22"/>
        </w:rPr>
        <w:t>his</w:t>
      </w:r>
      <w:r w:rsidR="00B44E15" w:rsidRPr="00566BC6">
        <w:rPr>
          <w:rFonts w:cstheme="minorHAnsi"/>
          <w:sz w:val="22"/>
          <w:szCs w:val="22"/>
        </w:rPr>
        <w:t xml:space="preserve"> </w:t>
      </w:r>
      <w:r w:rsidR="008333BE">
        <w:rPr>
          <w:rFonts w:cstheme="minorHAnsi"/>
          <w:sz w:val="22"/>
          <w:szCs w:val="22"/>
        </w:rPr>
        <w:t xml:space="preserve">future </w:t>
      </w:r>
      <w:r w:rsidR="00B44E15" w:rsidRPr="00566BC6">
        <w:rPr>
          <w:rFonts w:cstheme="minorHAnsi"/>
          <w:sz w:val="22"/>
          <w:szCs w:val="22"/>
        </w:rPr>
        <w:t xml:space="preserve">conduct on licensed premises. </w:t>
      </w:r>
    </w:p>
    <w:p w:rsidR="00566BC6" w:rsidRPr="00566BC6" w:rsidRDefault="00566BC6" w:rsidP="00CD5481">
      <w:pPr>
        <w:pStyle w:val="ListParagraph"/>
        <w:jc w:val="both"/>
        <w:rPr>
          <w:rFonts w:cstheme="minorHAnsi"/>
          <w:sz w:val="22"/>
          <w:szCs w:val="22"/>
        </w:rPr>
      </w:pPr>
    </w:p>
    <w:p w:rsidR="000C4BF6" w:rsidRPr="00566BC6" w:rsidRDefault="00193193" w:rsidP="00684391">
      <w:pPr>
        <w:pStyle w:val="ListParagraph"/>
        <w:numPr>
          <w:ilvl w:val="0"/>
          <w:numId w:val="17"/>
        </w:numPr>
        <w:jc w:val="both"/>
        <w:rPr>
          <w:rFonts w:cstheme="minorHAnsi"/>
          <w:sz w:val="22"/>
          <w:szCs w:val="22"/>
        </w:rPr>
      </w:pPr>
      <w:r>
        <w:rPr>
          <w:rFonts w:cstheme="minorHAnsi"/>
          <w:sz w:val="22"/>
          <w:szCs w:val="22"/>
        </w:rPr>
        <w:t>Therefore,</w:t>
      </w:r>
      <w:r w:rsidR="00FD34DD">
        <w:rPr>
          <w:rFonts w:cstheme="minorHAnsi"/>
          <w:sz w:val="22"/>
          <w:szCs w:val="22"/>
        </w:rPr>
        <w:t xml:space="preserve"> t</w:t>
      </w:r>
      <w:r w:rsidR="00C121D7" w:rsidRPr="00566BC6">
        <w:rPr>
          <w:rFonts w:cstheme="minorHAnsi"/>
          <w:sz w:val="22"/>
          <w:szCs w:val="22"/>
        </w:rPr>
        <w:t xml:space="preserve">he Application for Review is </w:t>
      </w:r>
      <w:r w:rsidR="007E1E23" w:rsidRPr="00566BC6">
        <w:rPr>
          <w:rFonts w:cstheme="minorHAnsi"/>
          <w:sz w:val="22"/>
          <w:szCs w:val="22"/>
        </w:rPr>
        <w:t>dismissed,</w:t>
      </w:r>
      <w:r w:rsidR="00C121D7" w:rsidRPr="00566BC6">
        <w:rPr>
          <w:rFonts w:cstheme="minorHAnsi"/>
          <w:sz w:val="22"/>
          <w:szCs w:val="22"/>
        </w:rPr>
        <w:t xml:space="preserve"> and the Barring Noti</w:t>
      </w:r>
      <w:r w:rsidR="00757D5F" w:rsidRPr="00566BC6">
        <w:rPr>
          <w:rFonts w:cstheme="minorHAnsi"/>
          <w:sz w:val="22"/>
          <w:szCs w:val="22"/>
        </w:rPr>
        <w:t>c</w:t>
      </w:r>
      <w:r w:rsidR="00C121D7" w:rsidRPr="00566BC6">
        <w:rPr>
          <w:rFonts w:cstheme="minorHAnsi"/>
          <w:sz w:val="22"/>
          <w:szCs w:val="22"/>
        </w:rPr>
        <w:t>e is affirmed</w:t>
      </w:r>
      <w:r w:rsidR="00150E3A" w:rsidRPr="00566BC6">
        <w:rPr>
          <w:rFonts w:cstheme="minorHAnsi"/>
          <w:sz w:val="22"/>
          <w:szCs w:val="22"/>
        </w:rPr>
        <w:t xml:space="preserve">. </w:t>
      </w:r>
    </w:p>
    <w:p w:rsidR="00B37FDB" w:rsidRPr="007433B0" w:rsidRDefault="00B37FDB" w:rsidP="007433B0">
      <w:pPr>
        <w:rPr>
          <w:rFonts w:cstheme="minorHAnsi"/>
          <w:sz w:val="22"/>
          <w:szCs w:val="22"/>
        </w:rPr>
      </w:pPr>
    </w:p>
    <w:p w:rsidR="00B44E15" w:rsidRPr="007433B0" w:rsidRDefault="00B44E15" w:rsidP="007433B0">
      <w:pPr>
        <w:rPr>
          <w:rFonts w:cstheme="minorHAnsi"/>
          <w:sz w:val="22"/>
          <w:szCs w:val="22"/>
        </w:rPr>
      </w:pPr>
    </w:p>
    <w:p w:rsidR="00B44E15" w:rsidRDefault="00B44E15" w:rsidP="007433B0">
      <w:pPr>
        <w:rPr>
          <w:rFonts w:cstheme="minorHAnsi"/>
          <w:sz w:val="22"/>
          <w:szCs w:val="22"/>
        </w:rPr>
      </w:pPr>
    </w:p>
    <w:p w:rsidR="00193193" w:rsidRPr="007433B0" w:rsidRDefault="007E1E23" w:rsidP="007433B0">
      <w:pPr>
        <w:rPr>
          <w:rFonts w:cstheme="minorHAnsi"/>
          <w:sz w:val="22"/>
          <w:szCs w:val="22"/>
        </w:rPr>
      </w:pPr>
      <w:r w:rsidRPr="007E1E23">
        <w:rPr>
          <w:rFonts w:cstheme="minorHAnsi"/>
          <w:noProof/>
          <w:sz w:val="22"/>
          <w:szCs w:val="22"/>
        </w:rPr>
        <w:drawing>
          <wp:inline distT="0" distB="0" distL="0" distR="0">
            <wp:extent cx="1321203" cy="552450"/>
            <wp:effectExtent l="0" t="0" r="0" b="0"/>
            <wp:docPr id="1" name="Picture 1" descr="Z:\electronic signatures\Elanor Rowe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lectronic signatures\Elanor Rowe signa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1693" cy="627920"/>
                    </a:xfrm>
                    <a:prstGeom prst="rect">
                      <a:avLst/>
                    </a:prstGeom>
                    <a:noFill/>
                    <a:ln>
                      <a:noFill/>
                    </a:ln>
                  </pic:spPr>
                </pic:pic>
              </a:graphicData>
            </a:graphic>
          </wp:inline>
        </w:drawing>
      </w:r>
    </w:p>
    <w:p w:rsidR="005C54E6" w:rsidRPr="00566BC6" w:rsidRDefault="00B37FDB" w:rsidP="007433B0">
      <w:pPr>
        <w:rPr>
          <w:rFonts w:cstheme="minorHAnsi"/>
          <w:b/>
          <w:sz w:val="22"/>
          <w:szCs w:val="22"/>
        </w:rPr>
      </w:pPr>
      <w:r w:rsidRPr="007433B0">
        <w:rPr>
          <w:rFonts w:cstheme="minorHAnsi"/>
          <w:sz w:val="22"/>
          <w:szCs w:val="22"/>
        </w:rPr>
        <w:t>_____________________</w:t>
      </w:r>
      <w:r w:rsidRPr="007433B0">
        <w:rPr>
          <w:rFonts w:cstheme="minorHAnsi"/>
          <w:sz w:val="22"/>
          <w:szCs w:val="22"/>
        </w:rPr>
        <w:tab/>
      </w:r>
      <w:r w:rsidRPr="007433B0">
        <w:rPr>
          <w:rFonts w:cstheme="minorHAnsi"/>
          <w:sz w:val="22"/>
          <w:szCs w:val="22"/>
        </w:rPr>
        <w:br/>
      </w:r>
      <w:r w:rsidR="000C4BF6" w:rsidRPr="00566BC6">
        <w:rPr>
          <w:rFonts w:cstheme="minorHAnsi"/>
          <w:b/>
          <w:sz w:val="22"/>
          <w:szCs w:val="22"/>
        </w:rPr>
        <w:t>ELANOR ROWE</w:t>
      </w:r>
    </w:p>
    <w:p w:rsidR="00B37FDB" w:rsidRPr="00566BC6" w:rsidRDefault="00B37FDB" w:rsidP="007433B0">
      <w:pPr>
        <w:rPr>
          <w:rFonts w:cstheme="minorHAnsi"/>
          <w:b/>
          <w:sz w:val="22"/>
          <w:szCs w:val="22"/>
        </w:rPr>
      </w:pPr>
      <w:r w:rsidRPr="00566BC6">
        <w:rPr>
          <w:rFonts w:cstheme="minorHAnsi"/>
          <w:b/>
          <w:sz w:val="22"/>
          <w:szCs w:val="22"/>
        </w:rPr>
        <w:t>PRESIDING MEMBER</w:t>
      </w:r>
    </w:p>
    <w:sectPr w:rsidR="00B37FDB" w:rsidRPr="00566BC6" w:rsidSect="00D9556D">
      <w:footerReference w:type="default" r:id="rId13"/>
      <w:footerReference w:type="first" r:id="rId14"/>
      <w:pgSz w:w="11907" w:h="16840" w:code="9"/>
      <w:pgMar w:top="1247" w:right="141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F39" w:rsidRDefault="00BF6F39" w:rsidP="00A4382C">
      <w:pPr>
        <w:spacing w:line="240" w:lineRule="auto"/>
      </w:pPr>
      <w:r>
        <w:separator/>
      </w:r>
    </w:p>
  </w:endnote>
  <w:endnote w:type="continuationSeparator" w:id="0">
    <w:p w:rsidR="00BF6F39" w:rsidRDefault="00BF6F39"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957929"/>
      <w:docPartObj>
        <w:docPartGallery w:val="Page Numbers (Bottom of Page)"/>
        <w:docPartUnique/>
      </w:docPartObj>
    </w:sdtPr>
    <w:sdtEndPr>
      <w:rPr>
        <w:noProof/>
        <w:sz w:val="24"/>
      </w:rPr>
    </w:sdtEndPr>
    <w:sdtContent>
      <w:p w:rsidR="00EC60A7" w:rsidRPr="00EC60A7" w:rsidRDefault="00EC60A7">
        <w:pPr>
          <w:pStyle w:val="Footer"/>
          <w:jc w:val="center"/>
          <w:rPr>
            <w:sz w:val="24"/>
          </w:rPr>
        </w:pPr>
        <w:r w:rsidRPr="00DF0F4B">
          <w:rPr>
            <w:sz w:val="22"/>
            <w:szCs w:val="22"/>
          </w:rPr>
          <w:fldChar w:fldCharType="begin"/>
        </w:r>
        <w:r w:rsidRPr="00DF0F4B">
          <w:rPr>
            <w:sz w:val="22"/>
            <w:szCs w:val="22"/>
          </w:rPr>
          <w:instrText xml:space="preserve"> PAGE   \* MERGEFORMAT </w:instrText>
        </w:r>
        <w:r w:rsidRPr="00DF0F4B">
          <w:rPr>
            <w:sz w:val="22"/>
            <w:szCs w:val="22"/>
          </w:rPr>
          <w:fldChar w:fldCharType="separate"/>
        </w:r>
        <w:r w:rsidR="00FD34DD">
          <w:rPr>
            <w:noProof/>
            <w:sz w:val="22"/>
            <w:szCs w:val="22"/>
          </w:rPr>
          <w:t>2</w:t>
        </w:r>
        <w:r w:rsidRPr="00DF0F4B">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sidR="000556A4">
      <w:rPr>
        <w:noProof/>
        <w:szCs w:val="16"/>
      </w:rPr>
      <w:t>Website version</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FD34DD">
      <w:rPr>
        <w:noProof/>
        <w:szCs w:val="16"/>
      </w:rPr>
      <w:t>9</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894009881"/>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F39" w:rsidRDefault="00BF6F39" w:rsidP="00A4382C">
      <w:pPr>
        <w:spacing w:line="240" w:lineRule="auto"/>
      </w:pPr>
      <w:r>
        <w:separator/>
      </w:r>
    </w:p>
  </w:footnote>
  <w:footnote w:type="continuationSeparator" w:id="0">
    <w:p w:rsidR="00BF6F39" w:rsidRDefault="00BF6F39" w:rsidP="00A438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75D65"/>
    <w:multiLevelType w:val="hybridMultilevel"/>
    <w:tmpl w:val="77EE67C6"/>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2" w15:restartNumberingAfterBreak="0">
    <w:nsid w:val="1EE91184"/>
    <w:multiLevelType w:val="hybridMultilevel"/>
    <w:tmpl w:val="630AD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21986F9C"/>
    <w:multiLevelType w:val="hybridMultilevel"/>
    <w:tmpl w:val="E5A47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30FD8"/>
    <w:multiLevelType w:val="hybridMultilevel"/>
    <w:tmpl w:val="0EBEF6E0"/>
    <w:lvl w:ilvl="0" w:tplc="04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7" w15:restartNumberingAfterBreak="0">
    <w:nsid w:val="291723C2"/>
    <w:multiLevelType w:val="hybridMultilevel"/>
    <w:tmpl w:val="F20C5CEA"/>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B8F3B7B"/>
    <w:multiLevelType w:val="hybridMultilevel"/>
    <w:tmpl w:val="52C8596C"/>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C11CF7"/>
    <w:multiLevelType w:val="hybridMultilevel"/>
    <w:tmpl w:val="C90A4042"/>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C3C02B8"/>
    <w:multiLevelType w:val="hybridMultilevel"/>
    <w:tmpl w:val="00283B6E"/>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182A82"/>
    <w:multiLevelType w:val="hybridMultilevel"/>
    <w:tmpl w:val="0BA4DAAA"/>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1B20D18"/>
    <w:multiLevelType w:val="multilevel"/>
    <w:tmpl w:val="C4023126"/>
    <w:numStyleLink w:val="AgencyTableBullets"/>
  </w:abstractNum>
  <w:abstractNum w:abstractNumId="13" w15:restartNumberingAfterBreak="0">
    <w:nsid w:val="44122183"/>
    <w:multiLevelType w:val="hybridMultilevel"/>
    <w:tmpl w:val="7C3696FE"/>
    <w:lvl w:ilvl="0" w:tplc="3584720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74526F"/>
    <w:multiLevelType w:val="multilevel"/>
    <w:tmpl w:val="D5A4B100"/>
    <w:numStyleLink w:val="AgencyTableNumbers"/>
  </w:abstractNum>
  <w:abstractNum w:abstractNumId="15"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6" w15:restartNumberingAfterBreak="0">
    <w:nsid w:val="4BF36770"/>
    <w:multiLevelType w:val="hybridMultilevel"/>
    <w:tmpl w:val="DCFE8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ED2762"/>
    <w:multiLevelType w:val="hybridMultilevel"/>
    <w:tmpl w:val="27F40CB6"/>
    <w:lvl w:ilvl="0" w:tplc="ACB8A732">
      <w:start w:val="1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A45620"/>
    <w:multiLevelType w:val="hybridMultilevel"/>
    <w:tmpl w:val="74DA3078"/>
    <w:lvl w:ilvl="0" w:tplc="04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176417D"/>
    <w:multiLevelType w:val="hybridMultilevel"/>
    <w:tmpl w:val="23385F74"/>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BB4250"/>
    <w:multiLevelType w:val="hybridMultilevel"/>
    <w:tmpl w:val="6A8C1352"/>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CC105DB"/>
    <w:multiLevelType w:val="hybridMultilevel"/>
    <w:tmpl w:val="A584581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num w:numId="1">
    <w:abstractNumId w:val="6"/>
  </w:num>
  <w:num w:numId="2">
    <w:abstractNumId w:val="15"/>
  </w:num>
  <w:num w:numId="3">
    <w:abstractNumId w:val="1"/>
  </w:num>
  <w:num w:numId="4">
    <w:abstractNumId w:val="3"/>
  </w:num>
  <w:num w:numId="5">
    <w:abstractNumId w:val="6"/>
  </w:num>
  <w:num w:numId="6">
    <w:abstractNumId w:val="15"/>
  </w:num>
  <w:num w:numId="7">
    <w:abstractNumId w:val="12"/>
  </w:num>
  <w:num w:numId="8">
    <w:abstractNumId w:val="14"/>
  </w:num>
  <w:num w:numId="9">
    <w:abstractNumId w:val="16"/>
  </w:num>
  <w:num w:numId="10">
    <w:abstractNumId w:val="13"/>
  </w:num>
  <w:num w:numId="11">
    <w:abstractNumId w:val="9"/>
  </w:num>
  <w:num w:numId="12">
    <w:abstractNumId w:val="11"/>
  </w:num>
  <w:num w:numId="13">
    <w:abstractNumId w:val="18"/>
  </w:num>
  <w:num w:numId="14">
    <w:abstractNumId w:val="21"/>
  </w:num>
  <w:num w:numId="15">
    <w:abstractNumId w:val="8"/>
  </w:num>
  <w:num w:numId="16">
    <w:abstractNumId w:val="7"/>
  </w:num>
  <w:num w:numId="17">
    <w:abstractNumId w:val="17"/>
  </w:num>
  <w:num w:numId="18">
    <w:abstractNumId w:val="5"/>
  </w:num>
  <w:num w:numId="19">
    <w:abstractNumId w:val="2"/>
  </w:num>
  <w:num w:numId="20">
    <w:abstractNumId w:val="4"/>
  </w:num>
  <w:num w:numId="21">
    <w:abstractNumId w:val="20"/>
  </w:num>
  <w:num w:numId="22">
    <w:abstractNumId w:val="10"/>
  </w:num>
  <w:num w:numId="23">
    <w:abstractNumId w:val="19"/>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BA"/>
    <w:rsid w:val="00002CF1"/>
    <w:rsid w:val="00005285"/>
    <w:rsid w:val="000255F7"/>
    <w:rsid w:val="00030161"/>
    <w:rsid w:val="00034762"/>
    <w:rsid w:val="000356D9"/>
    <w:rsid w:val="000523BF"/>
    <w:rsid w:val="000556A4"/>
    <w:rsid w:val="000628DD"/>
    <w:rsid w:val="000649CE"/>
    <w:rsid w:val="00070650"/>
    <w:rsid w:val="00071AB9"/>
    <w:rsid w:val="00081F4F"/>
    <w:rsid w:val="00083B7B"/>
    <w:rsid w:val="00085BD9"/>
    <w:rsid w:val="00087E7C"/>
    <w:rsid w:val="000C4BF6"/>
    <w:rsid w:val="000D000F"/>
    <w:rsid w:val="000D6278"/>
    <w:rsid w:val="000D7897"/>
    <w:rsid w:val="000F4B54"/>
    <w:rsid w:val="00100D51"/>
    <w:rsid w:val="00101A4E"/>
    <w:rsid w:val="00117846"/>
    <w:rsid w:val="001216C9"/>
    <w:rsid w:val="00127A81"/>
    <w:rsid w:val="001460B6"/>
    <w:rsid w:val="00147E8A"/>
    <w:rsid w:val="001507ED"/>
    <w:rsid w:val="00150D6F"/>
    <w:rsid w:val="00150E3A"/>
    <w:rsid w:val="0015286C"/>
    <w:rsid w:val="00161BAC"/>
    <w:rsid w:val="001630BD"/>
    <w:rsid w:val="00166F4F"/>
    <w:rsid w:val="001723E2"/>
    <w:rsid w:val="00175B21"/>
    <w:rsid w:val="001761F5"/>
    <w:rsid w:val="00182318"/>
    <w:rsid w:val="001853E7"/>
    <w:rsid w:val="00193193"/>
    <w:rsid w:val="00193B6E"/>
    <w:rsid w:val="001B3306"/>
    <w:rsid w:val="001B4CDD"/>
    <w:rsid w:val="001C316F"/>
    <w:rsid w:val="001C67FE"/>
    <w:rsid w:val="001D0C18"/>
    <w:rsid w:val="001D22B3"/>
    <w:rsid w:val="001D2EB0"/>
    <w:rsid w:val="001E38AF"/>
    <w:rsid w:val="001F1168"/>
    <w:rsid w:val="0021319C"/>
    <w:rsid w:val="0021492B"/>
    <w:rsid w:val="00217BF0"/>
    <w:rsid w:val="00226991"/>
    <w:rsid w:val="00240382"/>
    <w:rsid w:val="00247443"/>
    <w:rsid w:val="0025773E"/>
    <w:rsid w:val="002760CB"/>
    <w:rsid w:val="0028261C"/>
    <w:rsid w:val="00286578"/>
    <w:rsid w:val="002C0BFE"/>
    <w:rsid w:val="002D4783"/>
    <w:rsid w:val="002E1AF5"/>
    <w:rsid w:val="002E7DD3"/>
    <w:rsid w:val="00304033"/>
    <w:rsid w:val="00306FAF"/>
    <w:rsid w:val="00307B64"/>
    <w:rsid w:val="00316310"/>
    <w:rsid w:val="00321C39"/>
    <w:rsid w:val="00327D01"/>
    <w:rsid w:val="00332850"/>
    <w:rsid w:val="0033401D"/>
    <w:rsid w:val="00334C40"/>
    <w:rsid w:val="00334E55"/>
    <w:rsid w:val="00351DB7"/>
    <w:rsid w:val="00360381"/>
    <w:rsid w:val="00371FB3"/>
    <w:rsid w:val="00375984"/>
    <w:rsid w:val="0037688B"/>
    <w:rsid w:val="0038356A"/>
    <w:rsid w:val="00394C4E"/>
    <w:rsid w:val="00395A93"/>
    <w:rsid w:val="003A39AE"/>
    <w:rsid w:val="003B180D"/>
    <w:rsid w:val="003B3DB3"/>
    <w:rsid w:val="003B68D0"/>
    <w:rsid w:val="003D25E3"/>
    <w:rsid w:val="003E2177"/>
    <w:rsid w:val="003F4681"/>
    <w:rsid w:val="003F68F5"/>
    <w:rsid w:val="003F7D47"/>
    <w:rsid w:val="004108AE"/>
    <w:rsid w:val="00430372"/>
    <w:rsid w:val="00430535"/>
    <w:rsid w:val="00447465"/>
    <w:rsid w:val="00467F99"/>
    <w:rsid w:val="0047194A"/>
    <w:rsid w:val="00490548"/>
    <w:rsid w:val="004B205C"/>
    <w:rsid w:val="004B61DD"/>
    <w:rsid w:val="004C07D4"/>
    <w:rsid w:val="004C12D6"/>
    <w:rsid w:val="004C3B9E"/>
    <w:rsid w:val="004D110B"/>
    <w:rsid w:val="004E44C7"/>
    <w:rsid w:val="004F6AB4"/>
    <w:rsid w:val="005029F3"/>
    <w:rsid w:val="00502FFE"/>
    <w:rsid w:val="00517B50"/>
    <w:rsid w:val="00521B09"/>
    <w:rsid w:val="00547FE6"/>
    <w:rsid w:val="00552F4A"/>
    <w:rsid w:val="00556CD6"/>
    <w:rsid w:val="005623F1"/>
    <w:rsid w:val="00566BC6"/>
    <w:rsid w:val="00575E19"/>
    <w:rsid w:val="005A3D30"/>
    <w:rsid w:val="005C54E6"/>
    <w:rsid w:val="005C7F45"/>
    <w:rsid w:val="005D33C6"/>
    <w:rsid w:val="006075BB"/>
    <w:rsid w:val="00613DE6"/>
    <w:rsid w:val="00614EE9"/>
    <w:rsid w:val="00616475"/>
    <w:rsid w:val="00630A25"/>
    <w:rsid w:val="00637858"/>
    <w:rsid w:val="00641F17"/>
    <w:rsid w:val="00647269"/>
    <w:rsid w:val="0065101A"/>
    <w:rsid w:val="00664B55"/>
    <w:rsid w:val="00670DD7"/>
    <w:rsid w:val="00671499"/>
    <w:rsid w:val="00684391"/>
    <w:rsid w:val="0069124D"/>
    <w:rsid w:val="006B372C"/>
    <w:rsid w:val="006B51AB"/>
    <w:rsid w:val="006D2834"/>
    <w:rsid w:val="006E4A6D"/>
    <w:rsid w:val="006F07BF"/>
    <w:rsid w:val="006F59A3"/>
    <w:rsid w:val="007218E4"/>
    <w:rsid w:val="00725843"/>
    <w:rsid w:val="00736097"/>
    <w:rsid w:val="00736B45"/>
    <w:rsid w:val="007433B0"/>
    <w:rsid w:val="0075253D"/>
    <w:rsid w:val="007528AA"/>
    <w:rsid w:val="00757A2A"/>
    <w:rsid w:val="00757D5F"/>
    <w:rsid w:val="00765079"/>
    <w:rsid w:val="0078017C"/>
    <w:rsid w:val="007A54B1"/>
    <w:rsid w:val="007A6F12"/>
    <w:rsid w:val="007C0342"/>
    <w:rsid w:val="007D00BC"/>
    <w:rsid w:val="007D2F38"/>
    <w:rsid w:val="007E1E23"/>
    <w:rsid w:val="007E599F"/>
    <w:rsid w:val="008044CB"/>
    <w:rsid w:val="0080619B"/>
    <w:rsid w:val="008064C0"/>
    <w:rsid w:val="00812D46"/>
    <w:rsid w:val="008144BB"/>
    <w:rsid w:val="00831975"/>
    <w:rsid w:val="008333BE"/>
    <w:rsid w:val="00837CAC"/>
    <w:rsid w:val="008435D5"/>
    <w:rsid w:val="00850BF0"/>
    <w:rsid w:val="00854401"/>
    <w:rsid w:val="008565C8"/>
    <w:rsid w:val="00860F4E"/>
    <w:rsid w:val="008621EA"/>
    <w:rsid w:val="008625B0"/>
    <w:rsid w:val="00863245"/>
    <w:rsid w:val="00875FE3"/>
    <w:rsid w:val="00884F47"/>
    <w:rsid w:val="0089012F"/>
    <w:rsid w:val="008A0283"/>
    <w:rsid w:val="008A3E70"/>
    <w:rsid w:val="008A672A"/>
    <w:rsid w:val="008A72AE"/>
    <w:rsid w:val="008C01DB"/>
    <w:rsid w:val="008E0D74"/>
    <w:rsid w:val="008E41EC"/>
    <w:rsid w:val="008E742A"/>
    <w:rsid w:val="00914608"/>
    <w:rsid w:val="00930BCD"/>
    <w:rsid w:val="00935B0B"/>
    <w:rsid w:val="00941ABA"/>
    <w:rsid w:val="0094285C"/>
    <w:rsid w:val="00943CC7"/>
    <w:rsid w:val="00944D7D"/>
    <w:rsid w:val="009453FA"/>
    <w:rsid w:val="00950DFF"/>
    <w:rsid w:val="0095250C"/>
    <w:rsid w:val="00953276"/>
    <w:rsid w:val="009532BA"/>
    <w:rsid w:val="00962C73"/>
    <w:rsid w:val="00990EA0"/>
    <w:rsid w:val="009A6DEB"/>
    <w:rsid w:val="009B0BD9"/>
    <w:rsid w:val="009D4F9E"/>
    <w:rsid w:val="009E69D2"/>
    <w:rsid w:val="009F0C02"/>
    <w:rsid w:val="009F389A"/>
    <w:rsid w:val="00A11C5C"/>
    <w:rsid w:val="00A41BE1"/>
    <w:rsid w:val="00A4382C"/>
    <w:rsid w:val="00A663DD"/>
    <w:rsid w:val="00A73213"/>
    <w:rsid w:val="00A768BE"/>
    <w:rsid w:val="00A804F9"/>
    <w:rsid w:val="00A826CA"/>
    <w:rsid w:val="00A847FA"/>
    <w:rsid w:val="00A865D9"/>
    <w:rsid w:val="00A90918"/>
    <w:rsid w:val="00A911E1"/>
    <w:rsid w:val="00AA65B7"/>
    <w:rsid w:val="00AB34A6"/>
    <w:rsid w:val="00AD0559"/>
    <w:rsid w:val="00AE6CF0"/>
    <w:rsid w:val="00B17831"/>
    <w:rsid w:val="00B37FDB"/>
    <w:rsid w:val="00B4205B"/>
    <w:rsid w:val="00B42151"/>
    <w:rsid w:val="00B44E15"/>
    <w:rsid w:val="00B45BCE"/>
    <w:rsid w:val="00B466FD"/>
    <w:rsid w:val="00B56488"/>
    <w:rsid w:val="00B654A9"/>
    <w:rsid w:val="00B92723"/>
    <w:rsid w:val="00B96B1B"/>
    <w:rsid w:val="00BB241A"/>
    <w:rsid w:val="00BC08A3"/>
    <w:rsid w:val="00BC2B82"/>
    <w:rsid w:val="00BC5B97"/>
    <w:rsid w:val="00BC790D"/>
    <w:rsid w:val="00BD452D"/>
    <w:rsid w:val="00BD7FE2"/>
    <w:rsid w:val="00BF6F39"/>
    <w:rsid w:val="00C0209D"/>
    <w:rsid w:val="00C10A5A"/>
    <w:rsid w:val="00C121D7"/>
    <w:rsid w:val="00C169C6"/>
    <w:rsid w:val="00C17C2B"/>
    <w:rsid w:val="00C324F8"/>
    <w:rsid w:val="00C524D8"/>
    <w:rsid w:val="00C57719"/>
    <w:rsid w:val="00C74436"/>
    <w:rsid w:val="00C851DC"/>
    <w:rsid w:val="00C95C39"/>
    <w:rsid w:val="00C97A98"/>
    <w:rsid w:val="00CA04F9"/>
    <w:rsid w:val="00CA0585"/>
    <w:rsid w:val="00CB0236"/>
    <w:rsid w:val="00CB079B"/>
    <w:rsid w:val="00CC4376"/>
    <w:rsid w:val="00CC43BA"/>
    <w:rsid w:val="00CC5FB3"/>
    <w:rsid w:val="00CD4CC8"/>
    <w:rsid w:val="00CD5481"/>
    <w:rsid w:val="00CE652D"/>
    <w:rsid w:val="00D016D8"/>
    <w:rsid w:val="00D02CCE"/>
    <w:rsid w:val="00D14F87"/>
    <w:rsid w:val="00D27E58"/>
    <w:rsid w:val="00D32B0F"/>
    <w:rsid w:val="00D36D87"/>
    <w:rsid w:val="00D43849"/>
    <w:rsid w:val="00D43D16"/>
    <w:rsid w:val="00D51E57"/>
    <w:rsid w:val="00D5302E"/>
    <w:rsid w:val="00D57959"/>
    <w:rsid w:val="00D6395F"/>
    <w:rsid w:val="00D700E1"/>
    <w:rsid w:val="00D71CF0"/>
    <w:rsid w:val="00D823AE"/>
    <w:rsid w:val="00D82B2B"/>
    <w:rsid w:val="00D86202"/>
    <w:rsid w:val="00D9127D"/>
    <w:rsid w:val="00D9556D"/>
    <w:rsid w:val="00DA61FE"/>
    <w:rsid w:val="00DB3B0A"/>
    <w:rsid w:val="00DB4A75"/>
    <w:rsid w:val="00DC07FF"/>
    <w:rsid w:val="00DD234E"/>
    <w:rsid w:val="00DE0A4C"/>
    <w:rsid w:val="00DE5B3B"/>
    <w:rsid w:val="00DF0F4B"/>
    <w:rsid w:val="00DF7BE7"/>
    <w:rsid w:val="00E262D6"/>
    <w:rsid w:val="00E26EED"/>
    <w:rsid w:val="00E30ABB"/>
    <w:rsid w:val="00E335C1"/>
    <w:rsid w:val="00E800BA"/>
    <w:rsid w:val="00E87942"/>
    <w:rsid w:val="00EB048B"/>
    <w:rsid w:val="00EC15C1"/>
    <w:rsid w:val="00EC60A7"/>
    <w:rsid w:val="00ED1F45"/>
    <w:rsid w:val="00EE27B3"/>
    <w:rsid w:val="00EF15EA"/>
    <w:rsid w:val="00F06689"/>
    <w:rsid w:val="00F07494"/>
    <w:rsid w:val="00F17A22"/>
    <w:rsid w:val="00F234F8"/>
    <w:rsid w:val="00F342D3"/>
    <w:rsid w:val="00F42B9C"/>
    <w:rsid w:val="00F47CE2"/>
    <w:rsid w:val="00F53BB2"/>
    <w:rsid w:val="00F622BC"/>
    <w:rsid w:val="00FA164E"/>
    <w:rsid w:val="00FA3B9E"/>
    <w:rsid w:val="00FB1CCB"/>
    <w:rsid w:val="00FC74D4"/>
    <w:rsid w:val="00FD34DD"/>
    <w:rsid w:val="00FD5004"/>
    <w:rsid w:val="00FE13B2"/>
    <w:rsid w:val="00FE6C25"/>
    <w:rsid w:val="00FF08A8"/>
    <w:rsid w:val="00FF1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6DD30"/>
  <w15:chartTrackingRefBased/>
  <w15:docId w15:val="{54B04F7B-109C-4B42-AAFE-C8DFB450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7"/>
    <w:qFormat/>
    <w:rsid w:val="00860F4E"/>
    <w:pPr>
      <w:spacing w:after="0"/>
    </w:p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uiPriority w:val="2"/>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3" ma:contentTypeDescription="Create a new document." ma:contentTypeScope="" ma:versionID="453039a263472bfcc19fce723532e8f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a758177b488688d276ef5588881e1c76"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2.xml><?xml version="1.0" encoding="utf-8"?>
<ds:datastoreItem xmlns:ds="http://schemas.openxmlformats.org/officeDocument/2006/customXml" ds:itemID="{304C3D3E-F29F-447C-9430-5D6E13496817}"/>
</file>

<file path=customXml/itemProps3.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4.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5.xml><?xml version="1.0" encoding="utf-8"?>
<ds:datastoreItem xmlns:ds="http://schemas.openxmlformats.org/officeDocument/2006/customXml" ds:itemID="{ED5F9E78-3BC4-489B-848D-6E908F81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Katrina</dc:creator>
  <cp:keywords/>
  <dc:description/>
  <cp:lastModifiedBy>Seema Saxena</cp:lastModifiedBy>
  <cp:revision>18</cp:revision>
  <cp:lastPrinted>2019-04-30T07:32:00Z</cp:lastPrinted>
  <dcterms:created xsi:type="dcterms:W3CDTF">2019-04-30T05:54:00Z</dcterms:created>
  <dcterms:modified xsi:type="dcterms:W3CDTF">2019-04-30T07:33:00Z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