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1495372" w:displacedByCustomXml="next"/>
    <w:bookmarkStart w:id="1" w:name="_Toc281246966" w:displacedByCustomXml="next"/>
    <w:sdt>
      <w:sdtPr>
        <w:id w:val="1463457713"/>
        <w:docPartObj>
          <w:docPartGallery w:val="Cover Pages"/>
          <w:docPartUnique/>
        </w:docPartObj>
      </w:sdtPr>
      <w:sdtEndPr>
        <w:rPr>
          <w:rFonts w:ascii="Calibri" w:eastAsia="Times New Roman" w:hAnsi="Calibri" w:cs="Times New Roman"/>
          <w:szCs w:val="20"/>
        </w:rPr>
      </w:sdtEndPr>
      <w:sdtContent>
        <w:p w:rsidR="00880C9F" w:rsidRDefault="00880C9F"/>
        <w:p w:rsidR="00880C9F" w:rsidRDefault="00880C9F">
          <w:pPr>
            <w:rPr>
              <w:rFonts w:ascii="Calibri" w:eastAsia="Times New Roman" w:hAnsi="Calibri" w:cs="Times New Roman"/>
              <w:szCs w:val="20"/>
            </w:rPr>
          </w:pP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0C9F" w:rsidRDefault="00E51429">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80C9F">
                                      <w:rPr>
                                        <w:color w:val="5B9BD5" w:themeColor="accent1"/>
                                        <w:sz w:val="72"/>
                                        <w:szCs w:val="72"/>
                                      </w:rPr>
                                      <w:t>Whistleblowing Policy</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880C9F" w:rsidRDefault="00880C9F">
                                    <w:pPr>
                                      <w:pStyle w:val="NoSpacing"/>
                                      <w:spacing w:before="40" w:after="40"/>
                                      <w:rPr>
                                        <w:caps/>
                                        <w:color w:val="1F3864" w:themeColor="accent5" w:themeShade="80"/>
                                        <w:sz w:val="28"/>
                                        <w:szCs w:val="28"/>
                                      </w:rPr>
                                    </w:pPr>
                                    <w:r>
                                      <w:rPr>
                                        <w:caps/>
                                        <w:color w:val="1F3864" w:themeColor="accent5" w:themeShade="80"/>
                                        <w:sz w:val="28"/>
                                        <w:szCs w:val="28"/>
                                        <w:lang w:val="en-AU"/>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880C9F" w:rsidRDefault="00880C9F">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880C9F" w:rsidRDefault="00E51429">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80C9F">
                                <w:rPr>
                                  <w:color w:val="5B9BD5" w:themeColor="accent1"/>
                                  <w:sz w:val="72"/>
                                  <w:szCs w:val="72"/>
                                </w:rPr>
                                <w:t>Whistleblowing Policy</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880C9F" w:rsidRDefault="00880C9F">
                              <w:pPr>
                                <w:pStyle w:val="NoSpacing"/>
                                <w:spacing w:before="40" w:after="40"/>
                                <w:rPr>
                                  <w:caps/>
                                  <w:color w:val="1F3864" w:themeColor="accent5" w:themeShade="80"/>
                                  <w:sz w:val="28"/>
                                  <w:szCs w:val="28"/>
                                </w:rPr>
                              </w:pPr>
                              <w:r>
                                <w:rPr>
                                  <w:caps/>
                                  <w:color w:val="1F3864" w:themeColor="accent5" w:themeShade="80"/>
                                  <w:sz w:val="28"/>
                                  <w:szCs w:val="28"/>
                                  <w:lang w:val="en-AU"/>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880C9F" w:rsidRDefault="00880C9F">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szCs w:val="20"/>
            </w:rPr>
            <w:br w:type="page"/>
          </w:r>
        </w:p>
      </w:sdtContent>
    </w:sdt>
    <w:p w:rsidR="00880C9F" w:rsidRPr="00880C9F" w:rsidRDefault="00880C9F" w:rsidP="00880C9F">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r w:rsidRPr="00880C9F">
        <w:rPr>
          <w:rFonts w:ascii="Calibri" w:eastAsia="Times New Roman" w:hAnsi="Calibri" w:cs="Times New Roman"/>
          <w:b/>
          <w:caps/>
          <w:color w:val="FFFFFF"/>
          <w:spacing w:val="15"/>
          <w:sz w:val="28"/>
        </w:rPr>
        <w:lastRenderedPageBreak/>
        <w:t>"Whistleblowing" Policy</w:t>
      </w:r>
      <w:bookmarkEnd w:id="1"/>
      <w:bookmarkEnd w:id="0"/>
      <w:r w:rsidRPr="00880C9F">
        <w:rPr>
          <w:rFonts w:ascii="Calibri" w:eastAsia="Times New Roman" w:hAnsi="Calibri" w:cs="Times New Roman"/>
          <w:b/>
          <w:caps/>
          <w:color w:val="FFFFFF"/>
          <w:spacing w:val="15"/>
          <w:sz w:val="28"/>
        </w:rPr>
        <w:t xml:space="preserve">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&lt;Organisation&gt; is committed to the highest standards of openness, probity and accountability. </w:t>
      </w:r>
      <w:r w:rsidRPr="00880C9F">
        <w:rPr>
          <w:rFonts w:ascii="Calibri" w:eastAsia="Times New Roman" w:hAnsi="Calibri" w:cs="Times New Roman"/>
          <w:szCs w:val="20"/>
        </w:rPr>
        <w:br/>
      </w:r>
      <w:r w:rsidRPr="00880C9F">
        <w:rPr>
          <w:rFonts w:ascii="Calibri" w:eastAsia="Times New Roman" w:hAnsi="Calibri" w:cs="Times New Roman"/>
          <w:szCs w:val="20"/>
        </w:rPr>
        <w:br/>
        <w:t xml:space="preserve">An important aspect of accountability and transparency is a mechanism to enable staff and other members of the organisation to voice concerns in a responsible and effective manner.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It should be emphasised that this policy is intended to assist individuals who believe they have discovered malpractice or impropriety. It is not designed to question financial or business decisions taken by the organisation nor should it be used to reconsider any matters which have already been addressed under harassment, complaint, disciplinary or other procedures.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Once the "whistleblowing” procedures are in place, it is reasonable to expect staff to use them rather than air their complaints outside the organisation.</w:t>
      </w:r>
    </w:p>
    <w:p w:rsidR="00880C9F" w:rsidRPr="00880C9F" w:rsidRDefault="00880C9F" w:rsidP="00880C9F">
      <w:pPr>
        <w:spacing w:before="100" w:after="0" w:line="240" w:lineRule="auto"/>
        <w:jc w:val="both"/>
        <w:rPr>
          <w:rFonts w:ascii="Calibri" w:eastAsia="Times New Roman" w:hAnsi="Calibri" w:cs="Times New Roman"/>
          <w:szCs w:val="20"/>
        </w:rPr>
      </w:pPr>
    </w:p>
    <w:p w:rsidR="00880C9F" w:rsidRPr="00880C9F" w:rsidRDefault="00880C9F" w:rsidP="00880C9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 w:name="_Toc281246968"/>
      <w:bookmarkStart w:id="3" w:name="_Toc411495373"/>
      <w:r w:rsidRPr="00880C9F">
        <w:rPr>
          <w:rFonts w:ascii="Calibri" w:eastAsia="Times New Roman" w:hAnsi="Calibri" w:cs="Times New Roman"/>
          <w:caps/>
          <w:spacing w:val="15"/>
          <w:sz w:val="24"/>
          <w:szCs w:val="20"/>
        </w:rPr>
        <w:t>Scope of Policy</w:t>
      </w:r>
      <w:bookmarkEnd w:id="2"/>
      <w:bookmarkEnd w:id="3"/>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This policy is designed to enable employees of the organisation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rsidR="00880C9F" w:rsidRPr="00880C9F" w:rsidRDefault="00880C9F" w:rsidP="00880C9F">
      <w:pPr>
        <w:numPr>
          <w:ilvl w:val="0"/>
          <w:numId w:val="1"/>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Financial malpractice or impropriety or fraud </w:t>
      </w:r>
    </w:p>
    <w:p w:rsidR="00880C9F" w:rsidRPr="00880C9F" w:rsidRDefault="00880C9F" w:rsidP="00880C9F">
      <w:pPr>
        <w:numPr>
          <w:ilvl w:val="0"/>
          <w:numId w:val="1"/>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Failure to comply with a legal obligation or Statutes </w:t>
      </w:r>
    </w:p>
    <w:p w:rsidR="00880C9F" w:rsidRPr="00880C9F" w:rsidRDefault="00880C9F" w:rsidP="00880C9F">
      <w:pPr>
        <w:numPr>
          <w:ilvl w:val="0"/>
          <w:numId w:val="1"/>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Dangers to Health &amp; Safety or the environment </w:t>
      </w:r>
    </w:p>
    <w:p w:rsidR="00880C9F" w:rsidRPr="00880C9F" w:rsidRDefault="00880C9F" w:rsidP="00880C9F">
      <w:pPr>
        <w:numPr>
          <w:ilvl w:val="0"/>
          <w:numId w:val="1"/>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Criminal activity </w:t>
      </w:r>
    </w:p>
    <w:p w:rsidR="00880C9F" w:rsidRPr="00880C9F" w:rsidRDefault="00880C9F" w:rsidP="00880C9F">
      <w:pPr>
        <w:numPr>
          <w:ilvl w:val="0"/>
          <w:numId w:val="1"/>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Improper conduct or unethical behaviour </w:t>
      </w:r>
    </w:p>
    <w:p w:rsidR="00880C9F" w:rsidRPr="00880C9F" w:rsidRDefault="00880C9F" w:rsidP="00880C9F">
      <w:pPr>
        <w:numPr>
          <w:ilvl w:val="0"/>
          <w:numId w:val="1"/>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Attempts to conceal any of these</w:t>
      </w:r>
    </w:p>
    <w:p w:rsidR="00880C9F" w:rsidRPr="00880C9F" w:rsidRDefault="00880C9F" w:rsidP="00880C9F">
      <w:pPr>
        <w:spacing w:before="100" w:after="0" w:line="240" w:lineRule="auto"/>
        <w:jc w:val="both"/>
        <w:rPr>
          <w:rFonts w:ascii="Calibri" w:eastAsia="Times New Roman" w:hAnsi="Calibri" w:cs="Times New Roman"/>
          <w:b/>
          <w:bCs/>
          <w:szCs w:val="20"/>
        </w:rPr>
      </w:pP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b/>
          <w:bCs/>
          <w:szCs w:val="20"/>
        </w:rPr>
        <w:t>Protection</w:t>
      </w:r>
      <w:r w:rsidRPr="00880C9F">
        <w:rPr>
          <w:rFonts w:ascii="Calibri" w:eastAsia="Times New Roman" w:hAnsi="Calibri" w:cs="Times New Roman"/>
          <w:szCs w:val="20"/>
        </w:rPr>
        <w:br/>
        <w:t>This policy is designed to offer protection to those employees of the organisation who disclose such concerns provided the disclosure is made:</w:t>
      </w:r>
    </w:p>
    <w:p w:rsidR="00880C9F" w:rsidRPr="00880C9F" w:rsidRDefault="00880C9F" w:rsidP="00880C9F">
      <w:pPr>
        <w:numPr>
          <w:ilvl w:val="0"/>
          <w:numId w:val="2"/>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in good faith </w:t>
      </w:r>
    </w:p>
    <w:p w:rsidR="00880C9F" w:rsidRPr="00880C9F" w:rsidRDefault="00880C9F" w:rsidP="00880C9F">
      <w:pPr>
        <w:numPr>
          <w:ilvl w:val="0"/>
          <w:numId w:val="2"/>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 </w:t>
      </w:r>
    </w:p>
    <w:p w:rsidR="00880C9F" w:rsidRPr="00880C9F" w:rsidRDefault="00880C9F" w:rsidP="00880C9F">
      <w:pPr>
        <w:spacing w:before="100" w:after="0" w:line="240" w:lineRule="auto"/>
        <w:rPr>
          <w:rFonts w:ascii="Calibri" w:eastAsia="Times New Roman" w:hAnsi="Calibri" w:cs="Times New Roman"/>
          <w:szCs w:val="20"/>
        </w:rPr>
      </w:pPr>
      <w:r w:rsidRPr="00880C9F">
        <w:rPr>
          <w:rFonts w:ascii="Calibri" w:eastAsia="Times New Roman" w:hAnsi="Calibri" w:cs="Times New Roman"/>
          <w:b/>
          <w:bCs/>
          <w:szCs w:val="20"/>
        </w:rPr>
        <w:t>Confidentiality</w:t>
      </w:r>
      <w:r w:rsidRPr="00880C9F">
        <w:rPr>
          <w:rFonts w:ascii="Calibri" w:eastAsia="Times New Roman" w:hAnsi="Calibri" w:cs="Times New Roman"/>
          <w:szCs w:val="20"/>
        </w:rPr>
        <w:br/>
        <w:t xml:space="preserve">The organisation will treat all such disclosures in a confidential and sensitive manner. The identity of </w:t>
      </w:r>
      <w:r w:rsidRPr="00880C9F">
        <w:rPr>
          <w:rFonts w:ascii="Calibri" w:eastAsia="Times New Roman" w:hAnsi="Calibri" w:cs="Times New Roman"/>
          <w:szCs w:val="20"/>
        </w:rPr>
        <w:lastRenderedPageBreak/>
        <w:t>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r w:rsidRPr="00880C9F">
        <w:rPr>
          <w:rFonts w:ascii="Calibri" w:eastAsia="Times New Roman" w:hAnsi="Calibri" w:cs="Times New Roman"/>
          <w:szCs w:val="20"/>
        </w:rPr>
        <w:br/>
      </w:r>
      <w:r w:rsidRPr="00880C9F">
        <w:rPr>
          <w:rFonts w:ascii="Calibri" w:eastAsia="Times New Roman" w:hAnsi="Calibri" w:cs="Times New Roman"/>
          <w:szCs w:val="20"/>
        </w:rPr>
        <w:br/>
      </w:r>
      <w:r w:rsidRPr="00880C9F">
        <w:rPr>
          <w:rFonts w:ascii="Calibri" w:eastAsia="Times New Roman" w:hAnsi="Calibri" w:cs="Times New Roman"/>
          <w:b/>
          <w:bCs/>
          <w:szCs w:val="20"/>
        </w:rPr>
        <w:t>Anonymous Allegations</w:t>
      </w:r>
      <w:r w:rsidRPr="00880C9F">
        <w:rPr>
          <w:rFonts w:ascii="Calibri" w:eastAsia="Times New Roman" w:hAnsi="Calibri" w:cs="Times New Roman"/>
          <w:szCs w:val="20"/>
        </w:rPr>
        <w:br/>
        <w:t>This policy encourages individuals to put their name to any disclosures they make. Concerns expressed anonymously are much less credible, but they may be considered at the discretion of the organisation.</w:t>
      </w:r>
      <w:r w:rsidRPr="00880C9F">
        <w:rPr>
          <w:rFonts w:ascii="Calibri" w:eastAsia="Times New Roman" w:hAnsi="Calibri" w:cs="Times New Roman"/>
          <w:szCs w:val="20"/>
        </w:rPr>
        <w:br/>
      </w:r>
      <w:r w:rsidRPr="00880C9F">
        <w:rPr>
          <w:rFonts w:ascii="Calibri" w:eastAsia="Times New Roman" w:hAnsi="Calibri" w:cs="Times New Roman"/>
          <w:szCs w:val="20"/>
        </w:rPr>
        <w:br/>
        <w:t>In exercising this discretion, the factors to be taken into account will include:</w:t>
      </w:r>
    </w:p>
    <w:p w:rsidR="00880C9F" w:rsidRPr="00880C9F" w:rsidRDefault="00880C9F" w:rsidP="00880C9F">
      <w:pPr>
        <w:numPr>
          <w:ilvl w:val="0"/>
          <w:numId w:val="3"/>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seriousness of the issues raised </w:t>
      </w:r>
    </w:p>
    <w:p w:rsidR="00880C9F" w:rsidRPr="00880C9F" w:rsidRDefault="00880C9F" w:rsidP="00880C9F">
      <w:pPr>
        <w:numPr>
          <w:ilvl w:val="0"/>
          <w:numId w:val="3"/>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credibility of the concern </w:t>
      </w:r>
    </w:p>
    <w:p w:rsidR="00880C9F" w:rsidRPr="00880C9F" w:rsidRDefault="00880C9F" w:rsidP="00880C9F">
      <w:pPr>
        <w:numPr>
          <w:ilvl w:val="0"/>
          <w:numId w:val="3"/>
        </w:num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likelihood of confirming the allegation from attributable sources </w:t>
      </w:r>
    </w:p>
    <w:p w:rsidR="00880C9F" w:rsidRPr="00880C9F" w:rsidRDefault="00880C9F" w:rsidP="00880C9F">
      <w:pPr>
        <w:spacing w:before="100" w:after="0" w:line="240" w:lineRule="auto"/>
        <w:rPr>
          <w:rFonts w:ascii="Calibri" w:eastAsia="Times New Roman" w:hAnsi="Calibri" w:cs="Times New Roman"/>
          <w:b/>
          <w:bCs/>
          <w:szCs w:val="20"/>
        </w:rPr>
      </w:pPr>
    </w:p>
    <w:p w:rsidR="00880C9F" w:rsidRPr="00880C9F" w:rsidRDefault="00880C9F" w:rsidP="00880C9F">
      <w:pPr>
        <w:spacing w:before="100" w:after="0" w:line="240" w:lineRule="auto"/>
        <w:rPr>
          <w:rFonts w:ascii="Calibri" w:eastAsia="Times New Roman" w:hAnsi="Calibri" w:cs="Times New Roman"/>
          <w:b/>
          <w:bCs/>
          <w:szCs w:val="20"/>
        </w:rPr>
      </w:pPr>
      <w:r w:rsidRPr="00880C9F">
        <w:rPr>
          <w:rFonts w:ascii="Calibri" w:eastAsia="Times New Roman" w:hAnsi="Calibri" w:cs="Times New Roman"/>
          <w:b/>
          <w:bCs/>
          <w:szCs w:val="20"/>
        </w:rPr>
        <w:t>Untrue Allegations</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rsidR="00880C9F" w:rsidRPr="00880C9F" w:rsidRDefault="00880C9F" w:rsidP="00880C9F">
      <w:pPr>
        <w:spacing w:before="100" w:after="0" w:line="240" w:lineRule="auto"/>
        <w:jc w:val="both"/>
        <w:rPr>
          <w:rFonts w:ascii="Calibri" w:eastAsia="Times New Roman" w:hAnsi="Calibri" w:cs="Times New Roman"/>
          <w:szCs w:val="20"/>
        </w:rPr>
      </w:pPr>
    </w:p>
    <w:p w:rsidR="00880C9F" w:rsidRPr="00880C9F" w:rsidRDefault="00880C9F" w:rsidP="00880C9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4" w:name="_Toc281246970"/>
      <w:bookmarkStart w:id="5" w:name="_Toc411495374"/>
      <w:r w:rsidRPr="00880C9F">
        <w:rPr>
          <w:rFonts w:ascii="Calibri" w:eastAsia="Times New Roman" w:hAnsi="Calibri" w:cs="Times New Roman"/>
          <w:caps/>
          <w:spacing w:val="15"/>
          <w:sz w:val="24"/>
          <w:szCs w:val="20"/>
        </w:rPr>
        <w:t>Procedures for Making a Disclosure</w:t>
      </w:r>
      <w:bookmarkEnd w:id="4"/>
      <w:bookmarkEnd w:id="5"/>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On receipt of a complaint of malpractice, the member of staff who receives and takes note of the </w:t>
      </w:r>
      <w:bookmarkStart w:id="6" w:name="_GoBack"/>
      <w:bookmarkEnd w:id="6"/>
      <w:r w:rsidRPr="00880C9F">
        <w:rPr>
          <w:rFonts w:ascii="Calibri" w:eastAsia="Times New Roman" w:hAnsi="Calibri" w:cs="Times New Roman"/>
          <w:szCs w:val="20"/>
        </w:rPr>
        <w:t>complaint, must pass this information as soon as is reasonably possible, to the appropriate designated investigating officer as follows:</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Complaints of malpractice will be investigated by the appropriate Director unless the complaint is against the Director or is in any way related to the actions of the Director. In such cases, the complaint should be passed to the Chief Executive for referral.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In the case of a complaint, which is any way connected with but not against the Director, the Chief Executive will nominate a Senior Manager to act as the alternative investigating officer.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Complaints against the Chief Executive should be passed to the Chairman who will nominate an appropriate investigating officer.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complainant has the right to bypass the line management structure and take their complaint direct to the Chairman. The Chairman has the right to refer the complaint back to management if he/she feels that the management without any conflict of interest can more appropriately investigate the complaint.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Should none of the above routes be suitable or acceptable to the complainant, then the complainant may approach one of the following individuals who have been designated to handle such matters and act as independent points of contact under this procedure. They can advise the complainant on the implications of the legislation and the possible internal and external avenues of complaint open to them:</w:t>
      </w:r>
    </w:p>
    <w:p w:rsidR="00880C9F" w:rsidRPr="00880C9F" w:rsidRDefault="00880C9F" w:rsidP="00880C9F">
      <w:pPr>
        <w:spacing w:before="100" w:after="0" w:line="240" w:lineRule="auto"/>
        <w:jc w:val="both"/>
        <w:rPr>
          <w:rFonts w:ascii="Calibri" w:eastAsia="Times New Roman" w:hAnsi="Calibri" w:cs="Times New Roman"/>
          <w:szCs w:val="20"/>
        </w:rPr>
      </w:pP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1 _________________________________________________</w:t>
      </w:r>
    </w:p>
    <w:p w:rsidR="00880C9F" w:rsidRPr="00880C9F" w:rsidRDefault="00880C9F" w:rsidP="00880C9F">
      <w:pPr>
        <w:spacing w:before="100" w:after="0" w:line="240" w:lineRule="auto"/>
        <w:jc w:val="both"/>
        <w:rPr>
          <w:rFonts w:ascii="Calibri" w:eastAsia="Times New Roman" w:hAnsi="Calibri" w:cs="Times New Roman"/>
          <w:szCs w:val="20"/>
        </w:rPr>
      </w:pP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2________________________________________________</w:t>
      </w:r>
    </w:p>
    <w:p w:rsidR="00880C9F" w:rsidRPr="00880C9F" w:rsidRDefault="00880C9F" w:rsidP="00880C9F">
      <w:pPr>
        <w:spacing w:before="100" w:after="0" w:line="240" w:lineRule="auto"/>
        <w:jc w:val="both"/>
        <w:rPr>
          <w:rFonts w:ascii="Calibri" w:eastAsia="Times New Roman" w:hAnsi="Calibri" w:cs="Times New Roman"/>
          <w:szCs w:val="20"/>
        </w:rPr>
      </w:pP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If there is evidence of criminal activity then the investigating officer should inform the police. The organisation will ensure that any internal investigation does not hinder a formal police investigation.</w:t>
      </w:r>
    </w:p>
    <w:p w:rsidR="00880C9F" w:rsidRPr="00880C9F" w:rsidRDefault="00880C9F" w:rsidP="00880C9F">
      <w:pPr>
        <w:spacing w:before="100" w:after="0" w:line="240" w:lineRule="auto"/>
        <w:jc w:val="both"/>
        <w:rPr>
          <w:rFonts w:ascii="Calibri" w:eastAsia="Times New Roman" w:hAnsi="Calibri" w:cs="Times New Roman"/>
          <w:szCs w:val="20"/>
        </w:rPr>
      </w:pPr>
    </w:p>
    <w:p w:rsidR="00880C9F" w:rsidRPr="00880C9F" w:rsidRDefault="00880C9F" w:rsidP="00880C9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7" w:name="_Toc281246971"/>
      <w:bookmarkStart w:id="8" w:name="_Toc411495375"/>
      <w:r w:rsidRPr="00880C9F">
        <w:rPr>
          <w:rFonts w:ascii="Calibri" w:eastAsia="Times New Roman" w:hAnsi="Calibri" w:cs="Times New Roman"/>
          <w:caps/>
          <w:spacing w:val="15"/>
          <w:sz w:val="24"/>
          <w:szCs w:val="20"/>
        </w:rPr>
        <w:t>Timescales</w:t>
      </w:r>
      <w:bookmarkEnd w:id="7"/>
      <w:bookmarkEnd w:id="8"/>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Due to the varied nature of these sorts of complaints, which may involve internal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All responses to the complainant should be in writing and sent to their home address.</w:t>
      </w:r>
    </w:p>
    <w:p w:rsidR="00880C9F" w:rsidRPr="00880C9F" w:rsidRDefault="00880C9F" w:rsidP="00880C9F">
      <w:pPr>
        <w:spacing w:before="100" w:after="0" w:line="240" w:lineRule="auto"/>
        <w:jc w:val="both"/>
        <w:rPr>
          <w:rFonts w:ascii="Calibri" w:eastAsia="Times New Roman" w:hAnsi="Calibri" w:cs="Times New Roman"/>
          <w:szCs w:val="20"/>
        </w:rPr>
      </w:pPr>
    </w:p>
    <w:p w:rsidR="00880C9F" w:rsidRPr="00880C9F" w:rsidRDefault="00880C9F" w:rsidP="00880C9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9" w:name="_Toc281246972"/>
      <w:bookmarkStart w:id="10" w:name="_Toc411495376"/>
      <w:r w:rsidRPr="00880C9F">
        <w:rPr>
          <w:rFonts w:ascii="Calibri" w:eastAsia="Times New Roman" w:hAnsi="Calibri" w:cs="Times New Roman"/>
          <w:caps/>
          <w:spacing w:val="15"/>
          <w:sz w:val="24"/>
          <w:szCs w:val="20"/>
        </w:rPr>
        <w:t>Investigating Procedure</w:t>
      </w:r>
      <w:bookmarkEnd w:id="9"/>
      <w:bookmarkEnd w:id="10"/>
      <w:r w:rsidRPr="00880C9F">
        <w:rPr>
          <w:rFonts w:ascii="Calibri" w:eastAsia="Times New Roman" w:hAnsi="Calibri" w:cs="Times New Roman"/>
          <w:caps/>
          <w:spacing w:val="15"/>
          <w:sz w:val="24"/>
          <w:szCs w:val="20"/>
        </w:rPr>
        <w:t xml:space="preserve">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The investigating officer should follow these steps:</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Full details and clarifications of the complaint should be obtained.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investigating officer should inform the member of staff against whom the complaint is made as soon as is practically possible. The member of staff will be informed of their right to be accompanied by a trade union or other representative at any future interview or hearing held under the provision of these procedures.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investigating officer should consider the involvement of the Organisation auditors and the Police at this stage and should consult with the Chairman / Chief Executive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allegations should be fully investigated by the investigating officer with the assistance where appropriate, of other individuals / bodies.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Chief Executive or Chairman as appropriate.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Chief Executive / Chairman will decide what action to take. If the complaint is shown to be justified, then they will invoke the disciplinary or other appropriate Organisation procedures.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The complainant should be kept informed of the progress of the investigations and, if appropriate, of the final outcome. </w:t>
      </w:r>
    </w:p>
    <w:p w:rsidR="00880C9F" w:rsidRPr="00880C9F" w:rsidRDefault="00880C9F" w:rsidP="00880C9F">
      <w:pPr>
        <w:spacing w:before="100" w:after="0" w:line="240" w:lineRule="auto"/>
        <w:jc w:val="both"/>
        <w:rPr>
          <w:rFonts w:ascii="Calibri" w:eastAsia="Times New Roman" w:hAnsi="Calibri" w:cs="Times New Roman"/>
          <w:szCs w:val="20"/>
        </w:rPr>
      </w:pPr>
      <w:r w:rsidRPr="00880C9F">
        <w:rPr>
          <w:rFonts w:ascii="Calibri" w:eastAsia="Times New Roman" w:hAnsi="Calibri" w:cs="Times New Roman"/>
          <w:szCs w:val="20"/>
        </w:rPr>
        <w:t xml:space="preserve">If appropriate, a copy of the outcomes will be passed to the Organisation Auditors to enable a review of the procedures. </w:t>
      </w:r>
    </w:p>
    <w:p w:rsidR="00FD589A" w:rsidRDefault="00880C9F" w:rsidP="00880C9F">
      <w:pPr>
        <w:spacing w:before="100" w:after="0" w:line="240" w:lineRule="auto"/>
        <w:jc w:val="both"/>
      </w:pPr>
      <w:r w:rsidRPr="00880C9F">
        <w:rPr>
          <w:rFonts w:ascii="Calibri" w:eastAsia="Times New Roman" w:hAnsi="Calibri" w:cs="Times New Roman"/>
          <w:szCs w:val="20"/>
        </w:rPr>
        <w:t>If the complainant is not satisfied that their concern is being properly dealt with by the investigating officer, they have the right to raise it in confidence with the Chief Executive / Chairman, or one of the designated persons described above.</w:t>
      </w:r>
    </w:p>
    <w:sectPr w:rsidR="00FD589A" w:rsidSect="00880C9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419E6"/>
    <w:multiLevelType w:val="hybridMultilevel"/>
    <w:tmpl w:val="754E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3D7DF3"/>
    <w:multiLevelType w:val="hybridMultilevel"/>
    <w:tmpl w:val="301AA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9D0669"/>
    <w:multiLevelType w:val="hybridMultilevel"/>
    <w:tmpl w:val="36C6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9F"/>
    <w:rsid w:val="005F37AC"/>
    <w:rsid w:val="00880C9F"/>
    <w:rsid w:val="00E51429"/>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0C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0C9F"/>
    <w:rPr>
      <w:rFonts w:eastAsiaTheme="minorEastAsia"/>
      <w:lang w:val="en-US"/>
    </w:rPr>
  </w:style>
  <w:style w:type="paragraph" w:styleId="BalloonText">
    <w:name w:val="Balloon Text"/>
    <w:basedOn w:val="Normal"/>
    <w:link w:val="BalloonTextChar"/>
    <w:uiPriority w:val="99"/>
    <w:semiHidden/>
    <w:unhideWhenUsed/>
    <w:rsid w:val="00E51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0C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0C9F"/>
    <w:rPr>
      <w:rFonts w:eastAsiaTheme="minorEastAsia"/>
      <w:lang w:val="en-US"/>
    </w:rPr>
  </w:style>
  <w:style w:type="paragraph" w:styleId="BalloonText">
    <w:name w:val="Balloon Text"/>
    <w:basedOn w:val="Normal"/>
    <w:link w:val="BalloonTextChar"/>
    <w:uiPriority w:val="99"/>
    <w:semiHidden/>
    <w:unhideWhenUsed/>
    <w:rsid w:val="00E51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289EC-5C2B-4136-9D71-159A38164EB7}"/>
</file>

<file path=customXml/itemProps2.xml><?xml version="1.0" encoding="utf-8"?>
<ds:datastoreItem xmlns:ds="http://schemas.openxmlformats.org/officeDocument/2006/customXml" ds:itemID="{A39709BB-5203-449C-B606-355FC727A359}"/>
</file>

<file path=customXml/itemProps3.xml><?xml version="1.0" encoding="utf-8"?>
<ds:datastoreItem xmlns:ds="http://schemas.openxmlformats.org/officeDocument/2006/customXml" ds:itemID="{12039D27-FBE9-4652-AD92-44F51BC66EB6}"/>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2015 Human resources tool kit</dc:subject>
  <dc:creator>developed by apex human resources for the department of sport and recreation</dc:creator>
  <cp:keywords/>
  <dc:description/>
  <cp:lastModifiedBy>Crispin Roberts</cp:lastModifiedBy>
  <cp:revision>3</cp:revision>
  <dcterms:created xsi:type="dcterms:W3CDTF">2015-03-19T00:49:00Z</dcterms:created>
  <dcterms:modified xsi:type="dcterms:W3CDTF">2015-09-22T08:59:00Z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